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2"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9"/>
          <w:szCs w:val="29"/>
          <w:b w:val="1"/>
          <w:bCs w:val="1"/>
          <w:color w:val="auto"/>
        </w:rPr>
        <w:t> </w:t>
      </w:r>
    </w:p>
    <w:p>
      <w:pPr>
        <w:ind w:left="2580"/>
        <w:spacing w:after="0" w:line="231"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ind w:left="33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5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r>
        <w:rPr>
          <w:rFonts w:ascii="Times New Roman" w:cs="Times New Roman" w:eastAsia="Times New Roman" w:hAnsi="Times New Roman"/>
          <w:sz w:val="18"/>
          <w:szCs w:val="18"/>
          <w:color w:val="auto"/>
        </w:rPr>
        <w:t>.</w:t>
      </w:r>
    </w:p>
    <w:p>
      <w:pPr>
        <w:spacing w:after="0" w:line="6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34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43"/>
          <w:szCs w:val="43"/>
          <w:b w:val="1"/>
          <w:bCs w:val="1"/>
          <w:color w:val="auto"/>
        </w:rPr>
        <w:t>ANNEXON, INC.</w:t>
      </w:r>
    </w:p>
    <w:p>
      <w:pPr>
        <w:spacing w:after="0" w:line="5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66"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184150</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243840</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372745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ANNEXON,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1400 Sierra Point Parkway, Bldg C, Suite 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11, 2026</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77" w:lineRule="exact"/>
        <w:rPr>
          <w:sz w:val="20"/>
          <w:szCs w:val="20"/>
          <w:color w:val="auto"/>
        </w:rPr>
      </w:pPr>
    </w:p>
    <w:p>
      <w:pPr>
        <w:ind w:left="300" w:right="319"/>
        <w:spacing w:after="0" w:line="241"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2026 Annual Meeting of Stockholders (the “Annual Meeting”) of Annexon, Inc., a Delaware corporation (the “Company”), on Thursday, June 11, 2026 at 8:00 a.m. Pacific Time. This year’s Annual Meeting will be held virtually, conducted via live audio webcast. You can attend the meeting via the internet at </w:t>
      </w:r>
      <w:r>
        <w:rPr>
          <w:rFonts w:ascii="Times New Roman" w:cs="Times New Roman" w:eastAsia="Times New Roman" w:hAnsi="Times New Roman"/>
          <w:sz w:val="18"/>
          <w:szCs w:val="18"/>
          <w:b w:val="1"/>
          <w:bCs w:val="1"/>
          <w:color w:val="auto"/>
        </w:rPr>
        <w:t>www.virtualshareholdermeeting.com/ANNX2026</w:t>
      </w:r>
      <w:r>
        <w:rPr>
          <w:rFonts w:ascii="Times New Roman" w:cs="Times New Roman" w:eastAsia="Times New Roman" w:hAnsi="Times New Roman"/>
          <w:sz w:val="18"/>
          <w:szCs w:val="18"/>
          <w:color w:val="auto"/>
        </w:rPr>
        <w:t xml:space="preserve"> by using the 16-digit control number that appears on your proxy card (printed in the box and marked by the arrow) and the instructions that accompanied your proxy materials. You will not be able to attend the meeting in person.</w:t>
      </w:r>
    </w:p>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117" w:lineRule="exact"/>
        <w:rPr>
          <w:sz w:val="20"/>
          <w:szCs w:val="20"/>
          <w:color w:val="auto"/>
        </w:rPr>
      </w:pPr>
    </w:p>
    <w:p>
      <w:pPr>
        <w:jc w:val="both"/>
        <w:ind w:left="1000" w:right="519" w:hanging="348"/>
        <w:spacing w:after="0" w:line="258"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the two nominees for director named in the accompanying proxy statement to serve as Class III directors to hold office until the 2029 annual meeting of stockholders or until their respective successors are duly elected and qualified or until the director’s earlier death, resignation or removal.</w:t>
      </w:r>
    </w:p>
    <w:p>
      <w:pPr>
        <w:spacing w:after="0" w:line="47" w:lineRule="exact"/>
        <w:rPr>
          <w:rFonts w:ascii="Times New Roman" w:cs="Times New Roman" w:eastAsia="Times New Roman" w:hAnsi="Times New Roman"/>
          <w:sz w:val="18"/>
          <w:szCs w:val="18"/>
          <w:b w:val="1"/>
          <w:bCs w:val="1"/>
          <w:color w:val="auto"/>
        </w:rPr>
      </w:pPr>
    </w:p>
    <w:p>
      <w:pPr>
        <w:ind w:left="1000" w:right="1179" w:hanging="348"/>
        <w:spacing w:after="0" w:line="260" w:lineRule="auto"/>
        <w:tabs>
          <w:tab w:leader="none" w:pos="100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ratify the selection by the Audit Committee of our Board of Directors of KPMG LLP as our independent registered public accounting firm for our fiscal year ending December 31, 2026.</w:t>
      </w:r>
    </w:p>
    <w:p>
      <w:pPr>
        <w:spacing w:after="0" w:line="1" w:lineRule="exact"/>
        <w:rPr>
          <w:rFonts w:ascii="Times New Roman" w:cs="Times New Roman" w:eastAsia="Times New Roman" w:hAnsi="Times New Roman"/>
          <w:sz w:val="17"/>
          <w:szCs w:val="17"/>
          <w:b w:val="1"/>
          <w:bCs w:val="1"/>
          <w:color w:val="auto"/>
        </w:rPr>
      </w:pPr>
    </w:p>
    <w:p>
      <w:pPr>
        <w:ind w:left="1000" w:hanging="348"/>
        <w:spacing w:after="0" w:line="186" w:lineRule="auto"/>
        <w:tabs>
          <w:tab w:leader="none" w:pos="1000" w:val="left"/>
        </w:tabs>
        <w:numPr>
          <w:ilvl w:val="0"/>
          <w:numId w:val="3"/>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4"/>
          <w:szCs w:val="14"/>
          <w:color w:val="auto"/>
        </w:rPr>
        <w:t>To approve, on a non-binding advisory basis, the compensation of our named executive officers.</w:t>
      </w:r>
    </w:p>
    <w:p>
      <w:pPr>
        <w:spacing w:after="0" w:line="198" w:lineRule="exact"/>
        <w:rPr>
          <w:rFonts w:ascii="Times New Roman" w:cs="Times New Roman" w:eastAsia="Times New Roman" w:hAnsi="Times New Roman"/>
          <w:sz w:val="24"/>
          <w:szCs w:val="24"/>
          <w:b w:val="1"/>
          <w:bCs w:val="1"/>
          <w:color w:val="auto"/>
          <w:vertAlign w:val="subscript"/>
        </w:rPr>
      </w:pPr>
    </w:p>
    <w:p>
      <w:pPr>
        <w:ind w:left="1000" w:right="639" w:hanging="348"/>
        <w:spacing w:after="0" w:line="258"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to our amended and restated certificate of incorporation (our “Certificate of Incorporation”) to increase the number of authorized shares of common stock from 300,000,000 to 500,000,000.</w:t>
      </w:r>
    </w:p>
    <w:p>
      <w:pPr>
        <w:spacing w:after="0" w:line="47" w:lineRule="exact"/>
        <w:rPr>
          <w:rFonts w:ascii="Times New Roman" w:cs="Times New Roman" w:eastAsia="Times New Roman" w:hAnsi="Times New Roman"/>
          <w:sz w:val="18"/>
          <w:szCs w:val="18"/>
          <w:b w:val="1"/>
          <w:bCs w:val="1"/>
          <w:color w:val="auto"/>
        </w:rPr>
      </w:pPr>
    </w:p>
    <w:p>
      <w:pPr>
        <w:ind w:left="1000" w:right="539" w:hanging="348"/>
        <w:spacing w:after="0" w:line="266"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any other business properly brought before the meeting or any continuation, adjournment or postponement thereof.</w:t>
      </w:r>
    </w:p>
    <w:p>
      <w:pPr>
        <w:spacing w:after="0" w:line="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90" w:lineRule="exact"/>
        <w:rPr>
          <w:sz w:val="20"/>
          <w:szCs w:val="20"/>
          <w:color w:val="auto"/>
        </w:rPr>
      </w:pPr>
    </w:p>
    <w:p>
      <w:pPr>
        <w:ind w:left="300" w:right="299"/>
        <w:spacing w:after="0" w:line="241" w:lineRule="auto"/>
        <w:rPr>
          <w:sz w:val="20"/>
          <w:szCs w:val="20"/>
          <w:color w:val="auto"/>
        </w:rPr>
      </w:pPr>
      <w:r>
        <w:rPr>
          <w:rFonts w:ascii="Times New Roman" w:cs="Times New Roman" w:eastAsia="Times New Roman" w:hAnsi="Times New Roman"/>
          <w:sz w:val="18"/>
          <w:szCs w:val="18"/>
          <w:color w:val="auto"/>
        </w:rPr>
        <w:t>The record date for the Annual Meeting is April 13, 2026. Only stockholders of record at the close of business on that date may vote at the Annual Meeting or any continuation, adjournment or postponement thereof. A complete list of such stockholders will be open to the examination of any stockholder for a period of ten days prior to the Annual Meeting for a purpose germane to the meeting at our principal executive offices by stating the purpose of the request and providing proof of ownership of our common stock. The complete list of such stockholders will also be available to stockholders during the Annual Meeting at www.virtualshareholdermeeting.com/ANNX2026.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5349240" cy="72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720090"/>
                    </a:xfrm>
                    <a:prstGeom prst="rect">
                      <a:avLst/>
                    </a:prstGeom>
                    <a:noFill/>
                  </pic:spPr>
                </pic:pic>
              </a:graphicData>
            </a:graphic>
          </wp:anchor>
        </w:drawing>
      </w:r>
    </w:p>
    <w:p>
      <w:pPr>
        <w:spacing w:after="0" w:line="129" w:lineRule="exact"/>
        <w:rPr>
          <w:sz w:val="20"/>
          <w:szCs w:val="20"/>
          <w:color w:val="auto"/>
        </w:rPr>
      </w:pPr>
    </w:p>
    <w:p>
      <w:pPr>
        <w:jc w:val="center"/>
        <w:ind w:left="300" w:right="339"/>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the Availability of Proxy Materials for the Stockholders’ Meeting to Be Held on </w:t>
      </w:r>
      <w:r>
        <w:rPr>
          <w:rFonts w:ascii="Times New Roman" w:cs="Times New Roman" w:eastAsia="Times New Roman" w:hAnsi="Times New Roman"/>
          <w:sz w:val="17"/>
          <w:szCs w:val="17"/>
          <w:color w:val="auto"/>
        </w:rPr>
        <w:t>Thursday, June 11, 2026 at 8:00 a.m. Pacific Time, conducted via live audio webcast.</w:t>
      </w:r>
    </w:p>
    <w:p>
      <w:pPr>
        <w:spacing w:after="0" w:line="68"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18"/>
          <w:szCs w:val="18"/>
          <w:color w:val="auto"/>
        </w:rPr>
        <w:t>The proxy statement and annual report to stockholders</w:t>
      </w:r>
    </w:p>
    <w:p>
      <w:pPr>
        <w:spacing w:after="0" w:line="27"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color w:val="auto"/>
        </w:rPr>
        <w:t xml:space="preserve">are available electronically at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1002665"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26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Douglas Love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Brisbane,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91440</wp:posOffset>
            </wp:positionV>
            <wp:extent cx="5349240" cy="977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977265"/>
                    </a:xfrm>
                    <a:prstGeom prst="rect">
                      <a:avLst/>
                    </a:prstGeom>
                    <a:noFill/>
                  </pic:spPr>
                </pic:pic>
              </a:graphicData>
            </a:graphic>
          </wp:anchor>
        </w:drawing>
      </w:r>
    </w:p>
    <w:p>
      <w:pPr>
        <w:spacing w:after="0" w:line="220" w:lineRule="exact"/>
        <w:rPr>
          <w:sz w:val="20"/>
          <w:szCs w:val="20"/>
          <w:color w:val="auto"/>
        </w:rPr>
      </w:pPr>
    </w:p>
    <w:p>
      <w:pPr>
        <w:ind w:left="400" w:right="479"/>
        <w:spacing w:after="0" w:line="243" w:lineRule="auto"/>
        <w:rPr>
          <w:sz w:val="20"/>
          <w:szCs w:val="20"/>
          <w:color w:val="auto"/>
        </w:rPr>
      </w:pPr>
      <w:r>
        <w:rPr>
          <w:rFonts w:ascii="Times New Roman" w:cs="Times New Roman" w:eastAsia="Times New Roman" w:hAnsi="Times New Roman"/>
          <w:sz w:val="17"/>
          <w:szCs w:val="17"/>
          <w:b w:val="1"/>
          <w:bCs w:val="1"/>
          <w:color w:val="auto"/>
        </w:rPr>
        <w:t>You are cordially invited to attend the Annual Meeting, conducted via live audio webcast. Whether or not you expect to attend the meeting, please vote by proxy over the telephone or through the internet, or by completing, dating, signing and returning a proxy card that we may mail to you as instructed in these materials, as promptly as possible in order to ensure your representation at the meeting. Even if you have voted by proxy, you may still vote at the Annual Meeting. Please note, however, that if your shares are held through a broker, bank or other nominee and you wish to vote at the Annual Meeting, you must obtain a proxy issued in your name from that record holder.</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648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QUESTIONS AND ANSWERS ABOUT THESE PROXY MATERIALS AND VOTING</w:t>
            </w:r>
          </w:p>
        </w:tc>
        <w:tc>
          <w:tcPr>
            <w:tcW w:w="1480" w:type="dxa"/>
            <w:vAlign w:val="bottom"/>
            <w:tcBorders>
              <w:bottom w:val="single" w:sz="8" w:color="CCEEFF"/>
            </w:tcBorders>
            <w:gridSpan w:val="6"/>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spacing w:after="0"/>
              <w:rPr>
                <w:sz w:val="21"/>
                <w:szCs w:val="21"/>
                <w:color w:val="auto"/>
              </w:rPr>
            </w:pPr>
          </w:p>
        </w:tc>
        <w:tc>
          <w:tcPr>
            <w:tcW w:w="120" w:type="dxa"/>
            <w:vAlign w:val="bottom"/>
            <w:tcBorders>
              <w:bottom w:val="single" w:sz="8" w:color="0000EE"/>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w:t>
            </w: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79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4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622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INFORMATION REGARDING THE BOARD AND CORPORATE GOVERNANCE</w:t>
            </w:r>
          </w:p>
        </w:tc>
        <w:tc>
          <w:tcPr>
            <w:tcW w:w="1740" w:type="dxa"/>
            <w:vAlign w:val="bottom"/>
            <w:tcBorders>
              <w:bottom w:val="single" w:sz="8" w:color="CCEEFF"/>
            </w:tcBorders>
            <w:gridSpan w:val="7"/>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4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7060" w:type="dxa"/>
            <w:vAlign w:val="bottom"/>
            <w:tcBorders>
              <w:bottom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2: RATIFICATION OF SELECTION OF INDEPENDENT REGISTERED PUBLIC</w:t>
            </w:r>
          </w:p>
        </w:tc>
        <w:tc>
          <w:tcPr>
            <w:tcW w:w="900" w:type="dxa"/>
            <w:vAlign w:val="bottom"/>
            <w:gridSpan w:val="4"/>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7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460" w:type="dxa"/>
            <w:vAlign w:val="bottom"/>
            <w:gridSpan w:val="5"/>
          </w:tcPr>
          <w:p>
            <w:pPr>
              <w:jc w:val="right"/>
              <w:ind w:right="40"/>
              <w:spacing w:after="0" w:line="196" w:lineRule="exact"/>
              <w:rPr>
                <w:sz w:val="20"/>
                <w:szCs w:val="20"/>
                <w:color w:val="auto"/>
              </w:rPr>
            </w:pPr>
            <w:r>
              <w:rPr>
                <w:rFonts w:ascii="Times New Roman" w:cs="Times New Roman" w:eastAsia="Times New Roman" w:hAnsi="Times New Roman"/>
                <w:sz w:val="18"/>
                <w:szCs w:val="18"/>
                <w:color w:val="0000EE"/>
              </w:rPr>
              <w:t>18</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800" w:type="dxa"/>
            <w:vAlign w:val="bottom"/>
            <w:tcBorders>
              <w:bottom w:val="single" w:sz="8" w:color="0000EE"/>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3: APPROVAL, ON A NON-BINDING ADVISORY BASIS, OF THE COMPENSATION OF</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302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OUR NAMED EXECUTIVE OFFICERS</w:t>
            </w:r>
          </w:p>
        </w:tc>
        <w:tc>
          <w:tcPr>
            <w:tcW w:w="4940" w:type="dxa"/>
            <w:vAlign w:val="bottom"/>
            <w:gridSpan w:val="12"/>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220" w:type="dxa"/>
            <w:vAlign w:val="bottom"/>
            <w:tcBorders>
              <w:right w:val="single" w:sz="8" w:color="CCEEFF"/>
            </w:tcBorders>
            <w:gridSpan w:val="3"/>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0000EE"/>
                <w:w w:val="88"/>
              </w:rPr>
              <w:t>19</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PROPOSAL 4: APPROVAL OF AN AMENDMENT TO OUR CERTIFICATE OF INCORPORATION TO</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77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INCREASE THE NUMBER OF AUTHORIZED SHARES OF COMMON STOCK</w:t>
            </w:r>
          </w:p>
        </w:tc>
        <w:tc>
          <w:tcPr>
            <w:tcW w:w="180" w:type="dxa"/>
            <w:vAlign w:val="bottom"/>
            <w:gridSpan w:val="2"/>
          </w:tcPr>
          <w:p>
            <w:pPr>
              <w:spacing w:after="0"/>
              <w:rPr>
                <w:sz w:val="17"/>
                <w:szCs w:val="17"/>
                <w:color w:val="auto"/>
              </w:rPr>
            </w:pPr>
          </w:p>
        </w:tc>
        <w:tc>
          <w:tcPr>
            <w:tcW w:w="460" w:type="dxa"/>
            <w:vAlign w:val="bottom"/>
            <w:gridSpan w:val="5"/>
          </w:tcPr>
          <w:p>
            <w:pPr>
              <w:jc w:val="right"/>
              <w:ind w:right="40"/>
              <w:spacing w:after="0" w:line="196" w:lineRule="exact"/>
              <w:rPr>
                <w:sz w:val="20"/>
                <w:szCs w:val="20"/>
                <w:color w:val="auto"/>
              </w:rPr>
            </w:pPr>
            <w:r>
              <w:rPr>
                <w:rFonts w:ascii="Times New Roman" w:cs="Times New Roman" w:eastAsia="Times New Roman" w:hAnsi="Times New Roman"/>
                <w:sz w:val="18"/>
                <w:szCs w:val="18"/>
                <w:color w:val="0000EE"/>
              </w:rPr>
              <w:t>20</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72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240" w:type="dxa"/>
            <w:vAlign w:val="bottom"/>
            <w:gridSpan w:val="5"/>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220" w:type="dxa"/>
            <w:vAlign w:val="bottom"/>
            <w:tcBorders>
              <w:right w:val="single" w:sz="8" w:color="CCEEFF"/>
            </w:tcBorders>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88"/>
              </w:rPr>
              <w:t>22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72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MANAGEMENT</w:t>
            </w:r>
          </w:p>
        </w:tc>
        <w:tc>
          <w:tcPr>
            <w:tcW w:w="1240" w:type="dxa"/>
            <w:vAlign w:val="bottom"/>
            <w:gridSpan w:val="5"/>
          </w:tcPr>
          <w:p>
            <w:pPr>
              <w:spacing w:after="0"/>
              <w:rPr>
                <w:sz w:val="16"/>
                <w:szCs w:val="16"/>
                <w:color w:val="auto"/>
              </w:rPr>
            </w:pPr>
          </w:p>
        </w:tc>
        <w:tc>
          <w:tcPr>
            <w:tcW w:w="240" w:type="dxa"/>
            <w:vAlign w:val="bottom"/>
            <w:gridSpan w:val="2"/>
          </w:tcPr>
          <w:p>
            <w:pPr>
              <w:spacing w:after="0"/>
              <w:rPr>
                <w:sz w:val="16"/>
                <w:szCs w:val="16"/>
                <w:color w:val="auto"/>
              </w:rPr>
            </w:pPr>
          </w:p>
        </w:tc>
        <w:tc>
          <w:tcPr>
            <w:tcW w:w="22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88"/>
              </w:rPr>
              <w:t>25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68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SECTION 16(A) BENEFICIAL OWNERSHIP REPORTING COMPLIANCE</w:t>
            </w:r>
          </w:p>
        </w:tc>
        <w:tc>
          <w:tcPr>
            <w:tcW w:w="2280" w:type="dxa"/>
            <w:vAlign w:val="bottom"/>
            <w:gridSpan w:val="9"/>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220" w:type="dxa"/>
            <w:vAlign w:val="bottom"/>
            <w:tcBorders>
              <w:right w:val="single" w:sz="8" w:color="CCEEFF"/>
            </w:tcBorders>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88"/>
              </w:rPr>
              <w:t>26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68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EXECUTIVE COMPENSATION</w:t>
            </w:r>
          </w:p>
        </w:tc>
        <w:tc>
          <w:tcPr>
            <w:tcW w:w="2280" w:type="dxa"/>
            <w:vAlign w:val="bottom"/>
            <w:gridSpan w:val="9"/>
          </w:tcPr>
          <w:p>
            <w:pPr>
              <w:spacing w:after="0"/>
              <w:rPr>
                <w:sz w:val="16"/>
                <w:szCs w:val="16"/>
                <w:color w:val="auto"/>
              </w:rPr>
            </w:pPr>
          </w:p>
        </w:tc>
        <w:tc>
          <w:tcPr>
            <w:tcW w:w="240" w:type="dxa"/>
            <w:vAlign w:val="bottom"/>
            <w:gridSpan w:val="2"/>
          </w:tcPr>
          <w:p>
            <w:pPr>
              <w:spacing w:after="0"/>
              <w:rPr>
                <w:sz w:val="16"/>
                <w:szCs w:val="16"/>
                <w:color w:val="auto"/>
              </w:rPr>
            </w:pPr>
          </w:p>
        </w:tc>
        <w:tc>
          <w:tcPr>
            <w:tcW w:w="22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88"/>
              </w:rPr>
              <w:t>27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RELATIONSHIPS AND RELATED-PERSON TRANSACTIONS</w:t>
            </w:r>
          </w:p>
        </w:tc>
        <w:tc>
          <w:tcPr>
            <w:tcW w:w="460" w:type="dxa"/>
            <w:vAlign w:val="bottom"/>
            <w:tcBorders>
              <w:right w:val="single" w:sz="8" w:color="CCEEFF"/>
            </w:tcBorders>
            <w:gridSpan w:val="5"/>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39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6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HOUSEHOLDING</w:t>
            </w:r>
          </w:p>
        </w:tc>
        <w:tc>
          <w:tcPr>
            <w:tcW w:w="2360" w:type="dxa"/>
            <w:vAlign w:val="bottom"/>
            <w:gridSpan w:val="10"/>
          </w:tcPr>
          <w:p>
            <w:pPr>
              <w:spacing w:after="0"/>
              <w:rPr>
                <w:sz w:val="16"/>
                <w:szCs w:val="16"/>
                <w:color w:val="auto"/>
              </w:rPr>
            </w:pPr>
          </w:p>
        </w:tc>
        <w:tc>
          <w:tcPr>
            <w:tcW w:w="240" w:type="dxa"/>
            <w:vAlign w:val="bottom"/>
            <w:gridSpan w:val="2"/>
          </w:tcPr>
          <w:p>
            <w:pPr>
              <w:spacing w:after="0"/>
              <w:rPr>
                <w:sz w:val="16"/>
                <w:szCs w:val="16"/>
                <w:color w:val="auto"/>
              </w:rPr>
            </w:pPr>
          </w:p>
        </w:tc>
        <w:tc>
          <w:tcPr>
            <w:tcW w:w="22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88"/>
              </w:rPr>
              <w:t>40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4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OTHER MATTERS</w:t>
            </w:r>
          </w:p>
        </w:tc>
        <w:tc>
          <w:tcPr>
            <w:tcW w:w="6500" w:type="dxa"/>
            <w:vAlign w:val="bottom"/>
            <w:gridSpan w:val="15"/>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220" w:type="dxa"/>
            <w:vAlign w:val="bottom"/>
            <w:tcBorders>
              <w:right w:val="single" w:sz="8" w:color="CCEEFF"/>
            </w:tcBorders>
            <w:gridSpan w:val="3"/>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88"/>
              </w:rPr>
              <w:t>41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APPENDIX A: A CERTIFICATE OF AMENDMENT TO THE CERTIFICATE OF INCORPORATION</w:t>
            </w:r>
          </w:p>
        </w:tc>
        <w:tc>
          <w:tcPr>
            <w:tcW w:w="160" w:type="dxa"/>
            <w:vAlign w:val="bottom"/>
          </w:tcPr>
          <w:p>
            <w:pPr>
              <w:spacing w:after="0"/>
              <w:rPr>
                <w:sz w:val="16"/>
                <w:szCs w:val="16"/>
                <w:color w:val="auto"/>
              </w:rPr>
            </w:pPr>
          </w:p>
        </w:tc>
        <w:tc>
          <w:tcPr>
            <w:tcW w:w="30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300" w:type="dxa"/>
            <w:vAlign w:val="bottom"/>
          </w:tcPr>
          <w:p>
            <w:pPr>
              <w:spacing w:after="0"/>
              <w:rPr>
                <w:sz w:val="16"/>
                <w:szCs w:val="16"/>
                <w:color w:val="auto"/>
              </w:rPr>
            </w:pPr>
          </w:p>
        </w:tc>
      </w:tr>
      <w:tr>
        <w:trPr>
          <w:trHeight w:val="203"/>
        </w:trPr>
        <w:tc>
          <w:tcPr>
            <w:tcW w:w="1300" w:type="dxa"/>
            <w:vAlign w:val="bottom"/>
            <w:tcBorders>
              <w:bottom w:val="single" w:sz="8" w:color="auto"/>
            </w:tcBorders>
          </w:tcPr>
          <w:p>
            <w:pPr>
              <w:spacing w:after="0"/>
              <w:rPr>
                <w:sz w:val="17"/>
                <w:szCs w:val="17"/>
                <w:color w:val="auto"/>
              </w:rPr>
            </w:pPr>
          </w:p>
        </w:tc>
        <w:tc>
          <w:tcPr>
            <w:tcW w:w="1300" w:type="dxa"/>
            <w:vAlign w:val="bottom"/>
            <w:tcBorders>
              <w:top w:val="single" w:sz="8" w:color="0000EE"/>
              <w:bottom w:val="single" w:sz="8" w:color="auto"/>
            </w:tcBorders>
          </w:tcPr>
          <w:p>
            <w:pPr>
              <w:spacing w:after="0"/>
              <w:rPr>
                <w:sz w:val="17"/>
                <w:szCs w:val="17"/>
                <w:color w:val="auto"/>
              </w:rPr>
            </w:pPr>
          </w:p>
        </w:tc>
        <w:tc>
          <w:tcPr>
            <w:tcW w:w="12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200" w:type="dxa"/>
            <w:vAlign w:val="bottom"/>
            <w:tcBorders>
              <w:top w:val="single" w:sz="8" w:color="0000EE"/>
              <w:bottom w:val="single" w:sz="8" w:color="auto"/>
            </w:tcBorders>
          </w:tcPr>
          <w:p>
            <w:pPr>
              <w:spacing w:after="0"/>
              <w:rPr>
                <w:sz w:val="17"/>
                <w:szCs w:val="17"/>
                <w:color w:val="auto"/>
              </w:rPr>
            </w:pPr>
          </w:p>
        </w:tc>
        <w:tc>
          <w:tcPr>
            <w:tcW w:w="780" w:type="dxa"/>
            <w:vAlign w:val="bottom"/>
            <w:tcBorders>
              <w:top w:val="single" w:sz="8" w:color="0000EE"/>
              <w:bottom w:val="single" w:sz="8" w:color="auto"/>
            </w:tcBorders>
          </w:tcPr>
          <w:p>
            <w:pPr>
              <w:spacing w:after="0"/>
              <w:rPr>
                <w:sz w:val="17"/>
                <w:szCs w:val="17"/>
                <w:color w:val="auto"/>
              </w:rPr>
            </w:pPr>
          </w:p>
        </w:tc>
        <w:tc>
          <w:tcPr>
            <w:tcW w:w="580" w:type="dxa"/>
            <w:vAlign w:val="bottom"/>
            <w:tcBorders>
              <w:top w:val="single" w:sz="8" w:color="0000EE"/>
              <w:bottom w:val="single" w:sz="8" w:color="auto"/>
            </w:tcBorders>
          </w:tcPr>
          <w:p>
            <w:pPr>
              <w:spacing w:after="0"/>
              <w:rPr>
                <w:sz w:val="17"/>
                <w:szCs w:val="17"/>
                <w:color w:val="auto"/>
              </w:rPr>
            </w:pPr>
          </w:p>
        </w:tc>
        <w:tc>
          <w:tcPr>
            <w:tcW w:w="320" w:type="dxa"/>
            <w:vAlign w:val="bottom"/>
            <w:tcBorders>
              <w:top w:val="single" w:sz="8" w:color="0000EE"/>
              <w:bottom w:val="single" w:sz="8" w:color="auto"/>
            </w:tcBorders>
          </w:tcPr>
          <w:p>
            <w:pPr>
              <w:spacing w:after="0"/>
              <w:rPr>
                <w:sz w:val="17"/>
                <w:szCs w:val="17"/>
                <w:color w:val="auto"/>
              </w:rPr>
            </w:pPr>
          </w:p>
        </w:tc>
        <w:tc>
          <w:tcPr>
            <w:tcW w:w="2260" w:type="dxa"/>
            <w:vAlign w:val="bottom"/>
            <w:tcBorders>
              <w:top w:val="single" w:sz="8" w:color="0000EE"/>
              <w:bottom w:val="single" w:sz="8" w:color="auto"/>
            </w:tcBorders>
          </w:tcPr>
          <w:p>
            <w:pPr>
              <w:spacing w:after="0"/>
              <w:rPr>
                <w:sz w:val="17"/>
                <w:szCs w:val="17"/>
                <w:color w:val="auto"/>
              </w:rPr>
            </w:pPr>
          </w:p>
        </w:tc>
        <w:tc>
          <w:tcPr>
            <w:tcW w:w="80" w:type="dxa"/>
            <w:vAlign w:val="bottom"/>
            <w:tcBorders>
              <w:top w:val="single" w:sz="8" w:color="0000EE"/>
              <w:bottom w:val="single" w:sz="8" w:color="auto"/>
            </w:tcBorders>
          </w:tcPr>
          <w:p>
            <w:pPr>
              <w:spacing w:after="0"/>
              <w:rPr>
                <w:sz w:val="17"/>
                <w:szCs w:val="17"/>
                <w:color w:val="auto"/>
              </w:rPr>
            </w:pPr>
          </w:p>
        </w:tc>
        <w:tc>
          <w:tcPr>
            <w:tcW w:w="400" w:type="dxa"/>
            <w:vAlign w:val="bottom"/>
            <w:tcBorders>
              <w:top w:val="single" w:sz="8" w:color="0000EE"/>
              <w:bottom w:val="single" w:sz="8" w:color="auto"/>
            </w:tcBorders>
          </w:tcPr>
          <w:p>
            <w:pPr>
              <w:spacing w:after="0"/>
              <w:rPr>
                <w:sz w:val="17"/>
                <w:szCs w:val="17"/>
                <w:color w:val="auto"/>
              </w:rPr>
            </w:pPr>
          </w:p>
        </w:tc>
        <w:tc>
          <w:tcPr>
            <w:tcW w:w="140" w:type="dxa"/>
            <w:vAlign w:val="bottom"/>
            <w:tcBorders>
              <w:top w:val="single" w:sz="8" w:color="0000EE"/>
              <w:bottom w:val="single" w:sz="8" w:color="auto"/>
            </w:tcBorders>
          </w:tcPr>
          <w:p>
            <w:pPr>
              <w:spacing w:after="0"/>
              <w:rPr>
                <w:sz w:val="17"/>
                <w:szCs w:val="17"/>
                <w:color w:val="auto"/>
              </w:rPr>
            </w:pPr>
          </w:p>
        </w:tc>
        <w:tc>
          <w:tcPr>
            <w:tcW w:w="260" w:type="dxa"/>
            <w:vAlign w:val="bottom"/>
            <w:tcBorders>
              <w:top w:val="single" w:sz="8" w:color="0000EE"/>
              <w:bottom w:val="single" w:sz="8" w:color="auto"/>
            </w:tcBorders>
          </w:tcPr>
          <w:p>
            <w:pPr>
              <w:spacing w:after="0"/>
              <w:rPr>
                <w:sz w:val="17"/>
                <w:szCs w:val="17"/>
                <w:color w:val="auto"/>
              </w:rPr>
            </w:pPr>
          </w:p>
        </w:tc>
        <w:tc>
          <w:tcPr>
            <w:tcW w:w="240" w:type="dxa"/>
            <w:vAlign w:val="bottom"/>
            <w:tcBorders>
              <w:top w:val="single" w:sz="8" w:color="0000EE"/>
              <w:bottom w:val="single" w:sz="8" w:color="auto"/>
            </w:tcBorders>
          </w:tcPr>
          <w:p>
            <w:pPr>
              <w:spacing w:after="0"/>
              <w:rPr>
                <w:sz w:val="17"/>
                <w:szCs w:val="17"/>
                <w:color w:val="auto"/>
              </w:rPr>
            </w:pPr>
          </w:p>
        </w:tc>
        <w:tc>
          <w:tcPr>
            <w:tcW w:w="340" w:type="dxa"/>
            <w:vAlign w:val="bottom"/>
            <w:tcBorders>
              <w:top w:val="single" w:sz="8" w:color="0000EE"/>
              <w:bottom w:val="single" w:sz="8" w:color="auto"/>
            </w:tcBorders>
          </w:tcPr>
          <w:p>
            <w:pPr>
              <w:spacing w:after="0"/>
              <w:rPr>
                <w:sz w:val="17"/>
                <w:szCs w:val="17"/>
                <w:color w:val="auto"/>
              </w:rPr>
            </w:pPr>
          </w:p>
        </w:tc>
        <w:tc>
          <w:tcPr>
            <w:tcW w:w="480" w:type="dxa"/>
            <w:vAlign w:val="bottom"/>
            <w:tcBorders>
              <w:top w:val="single" w:sz="8" w:color="0000EE"/>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top w:val="single" w:sz="8" w:color="0000EE"/>
              <w:bottom w:val="single" w:sz="8" w:color="auto"/>
            </w:tcBorders>
          </w:tcPr>
          <w:p>
            <w:pPr>
              <w:spacing w:after="0"/>
              <w:rPr>
                <w:sz w:val="17"/>
                <w:szCs w:val="17"/>
                <w:color w:val="auto"/>
              </w:rPr>
            </w:pPr>
          </w:p>
        </w:tc>
        <w:tc>
          <w:tcPr>
            <w:tcW w:w="100" w:type="dxa"/>
            <w:vAlign w:val="bottom"/>
            <w:tcBorders>
              <w:top w:val="single" w:sz="8" w:color="0000EE"/>
              <w:bottom w:val="single" w:sz="8" w:color="auto"/>
            </w:tcBorders>
          </w:tcPr>
          <w:p>
            <w:pPr>
              <w:spacing w:after="0"/>
              <w:rPr>
                <w:sz w:val="17"/>
                <w:szCs w:val="17"/>
                <w:color w:val="auto"/>
              </w:rPr>
            </w:pPr>
          </w:p>
        </w:tc>
        <w:tc>
          <w:tcPr>
            <w:tcW w:w="8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14" w:right="439"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ANNEXON, INC.</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1400 Sierra Point Parkway, Bldg C, Suite 200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Annexon, Inc. (sometimes referred to as the “Company” or “Annexon”) is soliciting your proxy to vote at the 2026 Annual Meeting of Stockholders (the “Annual Meeting”), including at any continuation, adjournment or postponement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84"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We intend to mail the Notice on or about April 27, 2026 to all stockholders of record entitled to vote at the Annual Meeting.</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The meeting will be held virtually on Thursday, June 11, 2026 at 8:00 a.m. Pacific Time at www.virtualshareholdermeeting.com/ANNX2026. There will be no physical meeting location. The meeting will be conducted only via an audio webcast. We believe that hosting a virtual meeting will facilitate stockholder attendance and participation at our annual meeting by enabling stockholders to participate from any location around the world. We have designed the virtual meeting to provide the same rights and opportunities to participate as stockholders would have at an in-person meeting, including the right to vote and ask questions during the meeting through the virtual meeting platform. To attend the Annual Meeting, stockholders will need to log-in to www.virtualshareholdermeeting.com/ANNX2026 using the 16-digit control number on the proxy card or the instructions that accompanied your proxy materials. The live audio webcast of the Annual Meeting will begin promptly at 8:00 a.m. Pacific Time. Online access to the webcast will open approximately 15 minutes prior to the start of the Annual Meeting to allow time for our stockholders to log in and test their devices’ audio systems. We encourage our stockholders to access the Annual Meeting in advance of the designated start time. A technical support telephone number will be posted on the log-in page that you can call if you encounter any difficulties accessing the virtual meeting during check-in or during the meeting. Information on how to vote at the Annual Meeting is below.</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Only stockholders of record at the close of business on April 13, 2026 will be entitled to vote at the Annual Meeting.</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this record date, there were 162,507,278 shares of common stock outstanding and entitled to vote.</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If on April 13, 2026 your shares were registered directly in your name with our transfer agent, Computershare Trust Company, N.A., then you are a stockholder of record. As a stockholder of record, you may vote at the Annual Meeting or vote by proxy. Whether or not you plan to attend the Annual Meeting, we urge you to fill out and return the enclosed proxy card or vote by proxy over the telephone or on the internet as instructed below to ensure your vote is counted.</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left="300" w:right="339"/>
        <w:spacing w:after="0" w:line="289" w:lineRule="auto"/>
        <w:rPr>
          <w:sz w:val="20"/>
          <w:szCs w:val="20"/>
          <w:color w:val="auto"/>
        </w:rPr>
      </w:pPr>
      <w:r>
        <w:rPr>
          <w:rFonts w:ascii="Times New Roman" w:cs="Times New Roman" w:eastAsia="Times New Roman" w:hAnsi="Times New Roman"/>
          <w:sz w:val="17"/>
          <w:szCs w:val="17"/>
          <w:color w:val="auto"/>
        </w:rPr>
        <w:t>If on April 13, 2026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shares in an account is considered 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be the stockholder of record for purposes of voting at the Annual Meeting. As a beneficial owner, you have the right to direct such organization regarding how to vote the shares in your account. You are also invited to attend the Annual Meeting. However, since you are not the stockholder of record, you may not vote your shares at the Annual Meeting unless you request and obtain a valid proxy from your broker or other agent.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77"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Class III directors;</w:t>
      </w:r>
    </w:p>
    <w:p>
      <w:pPr>
        <w:spacing w:after="0" w:line="90"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selection by the Audit Committee of our Board (“Audit Committee”) of KPMG LLP as our independent registered public accounting firm for the fiscal year ending December 31, 2026;</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 non-binding advisory basis, of the compensation of our named executive officers; and</w:t>
      </w:r>
    </w:p>
    <w:p>
      <w:pPr>
        <w:spacing w:after="0" w:line="76"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our Certificate of Incorporation to increase the number of authorized shares of common stock from 300,000,000 to 500,000,000.</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You may either vote “For” all the nominees to the Board or you may “Withhold” your vote for any nominee you specify. For the ratification of selection by the Audit Committee of KPMG LLP as our independent registered public accounting firm for the fiscal year ending December 31, 2026 for approval, on a non-binding advisory basis, of the compensation of our named executive officers, and for approval of an amendment to our Certificate of Incorporation to increase the number of authorized shares of common stock from 300,000,000 to 500,000,000 you may vote “For” or “Against” or abstain from voting.</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439"/>
        <w:spacing w:after="0" w:line="281" w:lineRule="auto"/>
        <w:rPr>
          <w:sz w:val="20"/>
          <w:szCs w:val="20"/>
          <w:color w:val="auto"/>
        </w:rPr>
      </w:pPr>
      <w:r>
        <w:rPr>
          <w:rFonts w:ascii="Times New Roman" w:cs="Times New Roman" w:eastAsia="Times New Roman" w:hAnsi="Times New Roman"/>
          <w:sz w:val="17"/>
          <w:szCs w:val="17"/>
          <w:color w:val="auto"/>
        </w:rPr>
        <w:t>If you are a stockholder of record, you may vote at the Annual Meeting, vote by proxy over the telephone, vote by proxy through the internet or vote by proxy using a proxy card that you may request or that we may elect to deliver at a later time. Whether or not you plan to attend the Annual Meeting, we urge you to vote by proxy to ensure your vote is counted. You may still attend the Annual Meeting and vote even if you have already voted by proxy.</w:t>
      </w:r>
    </w:p>
    <w:p>
      <w:pPr>
        <w:spacing w:after="0" w:line="29" w:lineRule="exact"/>
        <w:rPr>
          <w:sz w:val="20"/>
          <w:szCs w:val="20"/>
          <w:color w:val="auto"/>
        </w:rPr>
      </w:pPr>
    </w:p>
    <w:p>
      <w:pPr>
        <w:ind w:left="1000" w:right="41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prior to or during the Annual Meeting, go to www.virtualshareholdermeeting.com/ANNX2026 to vote your shares prior to or during the Annual Meeting. You will need the 16-digit control number which appears on your proxy card (printed in the box and marked by the arrow) and the instructions that accompanied your proxy materials.</w:t>
      </w:r>
    </w:p>
    <w:p>
      <w:pPr>
        <w:spacing w:after="0" w:line="31"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proxy card and return it promptly in the envelope provided. If you return your signed proxy card to us before the Annual Meeting, we will vote your shares as you direct.</w:t>
      </w:r>
    </w:p>
    <w:p>
      <w:pPr>
        <w:spacing w:after="0" w:line="27" w:lineRule="exact"/>
        <w:rPr>
          <w:rFonts w:ascii="Times New Roman" w:cs="Times New Roman" w:eastAsia="Times New Roman" w:hAnsi="Times New Roman"/>
          <w:sz w:val="18"/>
          <w:szCs w:val="18"/>
          <w:color w:val="auto"/>
        </w:rPr>
      </w:pPr>
    </w:p>
    <w:p>
      <w:pPr>
        <w:ind w:left="1000" w:right="479" w:hanging="348"/>
        <w:spacing w:after="0" w:line="289" w:lineRule="auto"/>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over the telephone, dial toll-free 1-800-690-6903 using a touch-tone phone and follow the recorded instructions. You will be asked to provide the company number and control number from the Notice. Your telephone vote must be received by 8:59 p.m. Pacific Time on June 10, 2026 to be counted.</w:t>
      </w:r>
    </w:p>
    <w:p>
      <w:pPr>
        <w:spacing w:after="0" w:line="22" w:lineRule="exact"/>
        <w:rPr>
          <w:rFonts w:ascii="Times New Roman" w:cs="Times New Roman" w:eastAsia="Times New Roman" w:hAnsi="Times New Roman"/>
          <w:sz w:val="17"/>
          <w:szCs w:val="17"/>
          <w:color w:val="auto"/>
        </w:rPr>
      </w:pPr>
    </w:p>
    <w:p>
      <w:pPr>
        <w:ind w:left="1000" w:right="479" w:hanging="348"/>
        <w:spacing w:after="0" w:line="289" w:lineRule="auto"/>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through the internet before the Annual Meeting, go to http://www.proxyvote.com to complete an electronic proxy card. You will be asked to provide the company number and control number from the Notice. Your internet vote must be received by 8:59 p.m. Pacific Time on June 10, 2026 to be counted.</w:t>
      </w:r>
    </w:p>
    <w:p>
      <w:pPr>
        <w:spacing w:after="0" w:line="9"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 Shares Registered in the Name of Broker or Bank</w:t>
      </w:r>
    </w:p>
    <w:p>
      <w:pPr>
        <w:spacing w:after="0" w:line="76" w:lineRule="exact"/>
        <w:rPr>
          <w:rFonts w:ascii="Times New Roman" w:cs="Times New Roman" w:eastAsia="Times New Roman" w:hAnsi="Times New Roman"/>
          <w:sz w:val="18"/>
          <w:szCs w:val="18"/>
          <w:color w:val="auto"/>
        </w:rPr>
      </w:pPr>
    </w:p>
    <w:p>
      <w:pPr>
        <w:ind w:left="1000" w:right="539" w:hanging="348"/>
        <w:spacing w:after="0" w:line="312" w:lineRule="auto"/>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beneficial owner of shares registered in the name of your broker, bank or other agent, you should have received a Notice containing voting instructions from that organization rather than from us.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399"/>
        <w:spacing w:after="0" w:line="261" w:lineRule="auto"/>
        <w:rPr>
          <w:sz w:val="20"/>
          <w:szCs w:val="20"/>
          <w:color w:val="auto"/>
        </w:rPr>
      </w:pPr>
      <w:r>
        <w:rPr>
          <w:rFonts w:ascii="Times New Roman" w:cs="Times New Roman" w:eastAsia="Times New Roman" w:hAnsi="Times New Roman"/>
          <w:sz w:val="18"/>
          <w:szCs w:val="18"/>
          <w:color w:val="auto"/>
        </w:rPr>
        <w:t>Simply follow the voting instructions in the Notice to ensure that your vote is counted. To vote at the Annual Meeting, you must obtain a valid proxy from your broker, bank or other agent. Follow the instructions from your broker or bank included with these proxy materials, or contact your broker or bank to request a proxy form.</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April 13, 2026.</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happens if I do not vote?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at the Annual Meeting, your shares will not be voted.</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If you are a beneficial owner and do not instruct your broker, bank or other agent how to vote your shares, they will only be permitted to vote your shares on “routine” matters. Brokers and nominees can use their discretion to vote “uninstructed” shares with respect to matters that are considered to be “routine,” but not with respect to “non-routine” matters. Generally,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Accordingly, your broker or nominee may not vote your shares on Proposals 1 or 3 without your instructions, but may vote your shares on Proposals 2 and 4 even in the absence of your instruction.</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the two nominees for director, “For” the ratification of the selection by the Audit Committee of the Board of KPMG LLP as our independent registered public accounting firm for the fiscal year ending December 31, 2026, “For” the approval, on a non-binding advisory basis, of the compensation of our named executive officers and “For” the approval of an amendment to our Certificate of Incorporation to increase the number of authorized shares of common stock from 300,000,000 to 500,000,000. If any other matter is properly presented at the meeting, your proxyholder (one of the individuals named on your proxy card) will vote your shares using his or her best judgment.</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by e-mail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Please follow the voting instructions on the Notices to ensure that all of your shares are voted.</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27"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37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Corporate Secretary prior to or at the Annual Meeting.</w:t>
      </w:r>
    </w:p>
    <w:p>
      <w:pPr>
        <w:spacing w:after="0" w:line="26"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by following the instructions described above. Simply attending the meeting will not, by itself, revoke your proxy.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or bank as a nominee or agent, you should follow the instructions provided by your broker or bank.</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submit questions in advance or during the Annual Meeting?</w:t>
      </w:r>
    </w:p>
    <w:p>
      <w:pPr>
        <w:spacing w:after="0" w:line="121"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Stockholders may submit questions in writing in advance or during the annual meeting at the following website: www.virtualshareholdermeeting.com/ANNX2026. Stockholders will use their 16-digit control number which is included on their proxy card or the instructions that accompanied the proxy materials.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Stockholders who intend to have a proposal considered for inclusion in next year’s proxy materials pursuant to Rule 14a-8 under the Securities Exchange Act of 1934, as amended (the “Exchange Act”), must submit their proposal in writing by December 28, 2026, to our Corporate Secretary at 1400 Sierra Point Parkway, Bldg C, Suite 200, Brisbane, California 94005. If you wish to submit a proposal (including a director nomination) at the meeting that is not to be included in next year’s proxy materials, you must provide specified information in writing to our Corporate Secretary at the address above no earlier than February 11, 2027 and no later than March 13, 2027; provided, however, that if our 2027 annual meeting of stockholders is held before May 12, 2027, or after August 10, 2027, notice by the stockholder to be timely must be received not later than the 90th day prior to such annual meeting, or if later, the 10th day following the day on which public disclosure of the date of such meeting is first made. You are also advised to review our Bylaws, which contain additional requirements about advance notice of stockholder proposals and director nominations.</w:t>
      </w:r>
    </w:p>
    <w:p>
      <w:pPr>
        <w:spacing w:after="0" w:line="84"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Submissions for director nomination must include (1) the full name, age, business address and residence address of such nominee, (2) the principal occupation or employment of such nominee, (3) the class and number of shares of each class of capital stock of the Company which are owned of record and beneficially by such nominee, (4) the date or dates on which such shares were acquired and the investment intent of such acquisition, (5) a statement whether such nominee, if elected, intends to tender, promptly following such person’s failure to receive the required vote for election or re-election at the next meeting at which such person would face election or re-election, an irrevocable resignation effective upon acceptance of such resignation by our Board and (6)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Exchange Act and the rules and regulations promulgated thereunder (including such person’s written consent to being named as a nominee and to serving as a director if elected), as well as certain information related to any stockholder proposing such nominee. Any such submission must be accompanied by the written consent of the proposed nominee to be named as a nominee and to serve as a director if elected.</w:t>
      </w:r>
    </w:p>
    <w:p>
      <w:pPr>
        <w:spacing w:after="0" w:line="8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advance notice requirements under our Bylaws, to comply with the universal proxy rules, stockholders who intend to solicit proxies in support of director nominees other than our nominees must provide notice that sets forth the information required by Rule 14a-19 under the Exchange Act.</w:t>
      </w:r>
    </w:p>
    <w:p>
      <w:pPr>
        <w:spacing w:after="0" w:line="68"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54"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We intend to file a proxy statement and WHITE proxy card with the SEC in connection with its solicitation of proxies for our Annual Meeting. Stockholders may obtain our proxy statement (and any amendments and supplements thereto) and other documents as and when filed by the Company with the SEC without charge from the SEC’s website at www.sec.gov.</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(a) for Proposal 1, to elect directors, votes “For,” “Withhold” and broker non-votes, (b) with respect to Proposal 2, votes “For” and “Against” and abstentions, (c) with respect to Proposal 3, votes “For” and “Against” and abstentions and broker non-votes, (d) with respect to Proposal 4, votes “For” and “Against” and abstentions, and (e) with respect to any other proposals, votes “For” and “Against,” abstentions and, if applicable, broker non-votes. Abstentions have no effect on the proposals to be voted upon at the Annual Meeting. Broker non-votes have no effect and will not be counted towards the vote total for any proposal.</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300" w:right="359"/>
        <w:spacing w:after="0" w:line="289" w:lineRule="auto"/>
        <w:rPr>
          <w:sz w:val="20"/>
          <w:szCs w:val="20"/>
          <w:color w:val="auto"/>
        </w:rPr>
      </w:pPr>
      <w:r>
        <w:rPr>
          <w:rFonts w:ascii="Times New Roman" w:cs="Times New Roman" w:eastAsia="Times New Roman" w:hAnsi="Times New Roman"/>
          <w:sz w:val="17"/>
          <w:szCs w:val="17"/>
          <w:color w:val="auto"/>
        </w:rPr>
        <w:t>As discussed above, when a beneficial owner of shares held in “street name” does not give instructions to the broker or nominee holding the shares as to how to vote on matters deemed by applicable stock exchange rules to be “non-routine,” the broker or nominee cannot vote the shares. These unvoted shares are counted as “broker non-votes.”</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Proposal</w:t>
            </w:r>
          </w:p>
        </w:tc>
        <w:tc>
          <w:tcPr>
            <w:tcW w:w="200" w:type="dxa"/>
            <w:vAlign w:val="bottom"/>
          </w:tcPr>
          <w:p>
            <w:pPr>
              <w:spacing w:after="0"/>
              <w:rPr>
                <w:sz w:val="13"/>
                <w:szCs w:val="13"/>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3"/>
                <w:szCs w:val="13"/>
                <w:color w:val="auto"/>
              </w:rPr>
            </w:pPr>
          </w:p>
        </w:tc>
        <w:tc>
          <w:tcPr>
            <w:tcW w:w="19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22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w:t>
            </w:r>
          </w:p>
        </w:tc>
        <w:tc>
          <w:tcPr>
            <w:tcW w:w="220" w:type="dxa"/>
            <w:vAlign w:val="bottom"/>
          </w:tcPr>
          <w:p>
            <w:pPr>
              <w:spacing w:after="0"/>
              <w:rPr>
                <w:sz w:val="13"/>
                <w:szCs w:val="13"/>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48"/>
        </w:trPr>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Discretionary</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6"/>
                <w:szCs w:val="16"/>
                <w:color w:val="auto"/>
              </w:rPr>
            </w:pPr>
          </w:p>
        </w:tc>
        <w:tc>
          <w:tcPr>
            <w:tcW w:w="1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for Approval</w:t>
            </w:r>
          </w:p>
        </w:tc>
        <w:tc>
          <w:tcPr>
            <w:tcW w:w="2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Allowed</w:t>
            </w:r>
          </w:p>
        </w:tc>
        <w:tc>
          <w:tcPr>
            <w:tcW w:w="220" w:type="dxa"/>
            <w:vAlign w:val="bottom"/>
          </w:tcPr>
          <w:p>
            <w:pPr>
              <w:spacing w:after="0"/>
              <w:rPr>
                <w:sz w:val="16"/>
                <w:szCs w:val="16"/>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3"/>
        </w:trPr>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2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The plurality of the votes</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c>
          <w:tcPr>
            <w:tcW w:w="2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2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cast. This means that the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nominees receiving the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highest number of</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affirmative “FOR” votes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will be elected as Class III</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14" w:right="1440" w:bottom="1440" w:gutter="0" w:footer="0" w:header="0"/>
        </w:sectPr>
      </w:pPr>
    </w:p>
    <w:p>
      <w:pPr>
        <w:spacing w:after="0" w:line="52" w:lineRule="exact"/>
        <w:rPr>
          <w:sz w:val="20"/>
          <w:szCs w:val="20"/>
          <w:color w:val="auto"/>
        </w:rPr>
      </w:pPr>
    </w:p>
    <w:p>
      <w:pPr>
        <w:ind w:left="1040" w:hanging="748"/>
        <w:spacing w:after="0" w:line="255"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KPMG LLP as our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tabs>
          <w:tab w:leader="none" w:pos="2160" w:val="left"/>
          <w:tab w:leader="none" w:pos="3460" w:val="left"/>
          <w:tab w:leader="none" w:pos="4620" w:val="left"/>
        </w:tabs>
        <w:rPr>
          <w:sz w:val="20"/>
          <w:szCs w:val="20"/>
          <w:color w:val="auto"/>
        </w:rPr>
      </w:pPr>
      <w:r>
        <w:rPr>
          <w:rFonts w:ascii="Times New Roman" w:cs="Times New Roman" w:eastAsia="Times New Roman" w:hAnsi="Times New Roman"/>
          <w:sz w:val="18"/>
          <w:szCs w:val="18"/>
          <w:color w:val="auto"/>
        </w:rPr>
        <w:t>The affirmative vote of the</w:t>
        <w:tab/>
        <w:t>None</w:t>
      </w:r>
      <w:r>
        <w:rPr>
          <w:sz w:val="20"/>
          <w:szCs w:val="20"/>
          <w:color w:val="auto"/>
        </w:rPr>
        <w:tab/>
      </w: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 majority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cast (excluding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non-votes).</w:t>
      </w:r>
    </w:p>
    <w:p>
      <w:pPr>
        <w:spacing w:after="0" w:line="650" w:lineRule="exact"/>
        <w:rPr>
          <w:sz w:val="20"/>
          <w:szCs w:val="20"/>
          <w:color w:val="auto"/>
        </w:rPr>
      </w:pPr>
    </w:p>
    <w:p>
      <w:pPr>
        <w:sectPr>
          <w:pgSz w:w="11900" w:h="16838" w:orient="portrait"/>
          <w:cols w:equalWidth="0" w:num="2">
            <w:col w:w="2780" w:space="220"/>
            <w:col w:w="6019"/>
          </w:cols>
          <w:pgMar w:left="1440" w:top="114" w:right="1440" w:bottom="1440" w:gutter="0" w:footer="0" w:header="0"/>
          <w:type w:val="continuous"/>
        </w:sectPr>
      </w:pPr>
    </w:p>
    <w:p>
      <w:pPr>
        <w:spacing w:after="0" w:line="43" w:lineRule="exact"/>
        <w:rPr>
          <w:sz w:val="20"/>
          <w:szCs w:val="20"/>
          <w:color w:val="auto"/>
        </w:rPr>
      </w:pPr>
    </w:p>
    <w:p>
      <w:pPr>
        <w:ind w:left="1040" w:hanging="748"/>
        <w:spacing w:after="0" w:line="258"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 non-binding advisory basis, of the compensation of our named executive officers</w:t>
      </w:r>
    </w:p>
    <w:p>
      <w:pPr>
        <w:spacing w:after="0" w:line="237" w:lineRule="exact"/>
        <w:rPr>
          <w:sz w:val="20"/>
          <w:szCs w:val="20"/>
          <w:color w:val="auto"/>
        </w:rPr>
      </w:pPr>
    </w:p>
    <w:p>
      <w:pPr>
        <w:ind w:left="1040" w:right="20" w:hanging="748"/>
        <w:spacing w:after="0" w:line="255"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amendment to our Certificate of Incorporation to increase the number of authorized shares of common stock</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tabs>
          <w:tab w:leader="none" w:pos="2160" w:val="left"/>
          <w:tab w:leader="none" w:pos="3460" w:val="left"/>
          <w:tab w:leader="none" w:pos="4620" w:val="left"/>
        </w:tabs>
        <w:rPr>
          <w:sz w:val="20"/>
          <w:szCs w:val="20"/>
          <w:color w:val="auto"/>
        </w:rPr>
      </w:pPr>
      <w:r>
        <w:rPr>
          <w:rFonts w:ascii="Times New Roman" w:cs="Times New Roman" w:eastAsia="Times New Roman" w:hAnsi="Times New Roman"/>
          <w:sz w:val="18"/>
          <w:szCs w:val="18"/>
          <w:color w:val="auto"/>
        </w:rPr>
        <w:t>The affirmative vote of the</w:t>
        <w:tab/>
        <w:t>None</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7"/>
          <w:szCs w:val="17"/>
          <w:color w:val="auto"/>
        </w:rPr>
        <w:t>None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 majority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cast (excluding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non-votes).</w:t>
      </w:r>
    </w:p>
    <w:p>
      <w:pPr>
        <w:spacing w:after="0" w:line="261" w:lineRule="exact"/>
        <w:rPr>
          <w:sz w:val="20"/>
          <w:szCs w:val="20"/>
          <w:color w:val="auto"/>
        </w:rPr>
      </w:pPr>
    </w:p>
    <w:p>
      <w:pPr>
        <w:spacing w:after="0"/>
        <w:tabs>
          <w:tab w:leader="none" w:pos="2160" w:val="left"/>
          <w:tab w:leader="none" w:pos="3460" w:val="left"/>
          <w:tab w:leader="none" w:pos="4620" w:val="left"/>
        </w:tabs>
        <w:rPr>
          <w:sz w:val="20"/>
          <w:szCs w:val="20"/>
          <w:color w:val="auto"/>
        </w:rPr>
      </w:pPr>
      <w:r>
        <w:rPr>
          <w:rFonts w:ascii="Times New Roman" w:cs="Times New Roman" w:eastAsia="Times New Roman" w:hAnsi="Times New Roman"/>
          <w:sz w:val="18"/>
          <w:szCs w:val="18"/>
          <w:color w:val="auto"/>
        </w:rPr>
        <w:t>The affirmative vote of the</w:t>
        <w:tab/>
        <w:t>None</w:t>
      </w:r>
      <w:r>
        <w:rPr>
          <w:sz w:val="20"/>
          <w:szCs w:val="20"/>
          <w:color w:val="auto"/>
        </w:rPr>
        <w:tab/>
      </w: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 majority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cast (excluding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non-votes).</w:t>
      </w:r>
    </w:p>
    <w:p>
      <w:pPr>
        <w:spacing w:after="0" w:line="650" w:lineRule="exact"/>
        <w:rPr>
          <w:sz w:val="20"/>
          <w:szCs w:val="20"/>
          <w:color w:val="auto"/>
        </w:rPr>
      </w:pPr>
    </w:p>
    <w:p>
      <w:pPr>
        <w:sectPr>
          <w:pgSz w:w="11900" w:h="16838" w:orient="portrait"/>
          <w:cols w:equalWidth="0" w:num="2">
            <w:col w:w="2720" w:space="280"/>
            <w:col w:w="6019"/>
          </w:cols>
          <w:pgMar w:left="1440" w:top="114" w:right="1440" w:bottom="1440" w:gutter="0" w:footer="0" w:header="0"/>
          <w:type w:val="continuous"/>
        </w:sectPr>
      </w:pP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121"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Our Board recommends that you vote “For” the election of the two nominees for director in Proposal 1, “For” Proposal 2, “For” Proposal 3 and “For” Proposal 4, as further described in this proxy statement.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 xml:space="preserve">A quorum of stockholders is necessary to hold a valid meeting. A quorum will be present if stockholders holding a majority in voting power of the issued and outstanding shares entitled to vote are present in person, or by remote communication, or represented by proxy. On the record date, there were 162,507,278 shares issued and outstanding and entitled to vote. </w:t>
      </w:r>
      <w:r>
        <w:rPr>
          <w:rFonts w:ascii="Times New Roman" w:cs="Times New Roman" w:eastAsia="Times New Roman" w:hAnsi="Times New Roman"/>
          <w:sz w:val="18"/>
          <w:szCs w:val="18"/>
          <w:b w:val="1"/>
          <w:bCs w:val="1"/>
          <w:color w:val="auto"/>
        </w:rPr>
        <w:t>Thus, the holders of 81,253,640 shares must be present in person, or by remote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communication, or represented by proxy at the meeting to have a quorum.</w:t>
      </w:r>
    </w:p>
    <w:p>
      <w:pPr>
        <w:spacing w:after="0" w:line="75"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at the Annual Meeting. Abstentions and broker non-votes will be counted towards the quorum requirement. If there is no quorum, either the chair of the meeting or the holders of a majority in voting power entitled to vote present in person, or by remote communication or represented by proxy may adjourn the meeting to another date.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or, if sooner, until the director’s earlier death, resignation or removal.</w:t>
      </w:r>
    </w:p>
    <w:p>
      <w:pPr>
        <w:spacing w:after="0" w:line="75" w:lineRule="exact"/>
        <w:rPr>
          <w:sz w:val="20"/>
          <w:szCs w:val="20"/>
          <w:color w:val="auto"/>
        </w:rPr>
      </w:pPr>
    </w:p>
    <w:p>
      <w:pPr>
        <w:ind w:left="300" w:right="299"/>
        <w:spacing w:after="0" w:line="268" w:lineRule="auto"/>
        <w:rPr>
          <w:sz w:val="20"/>
          <w:szCs w:val="20"/>
          <w:color w:val="auto"/>
        </w:rPr>
      </w:pPr>
      <w:r>
        <w:rPr>
          <w:rFonts w:ascii="Times New Roman" w:cs="Times New Roman" w:eastAsia="Times New Roman" w:hAnsi="Times New Roman"/>
          <w:sz w:val="17"/>
          <w:szCs w:val="17"/>
          <w:color w:val="auto"/>
        </w:rPr>
        <w:t>Our Board presently has eight members and eight authorized Board seats. There are three directors in the class whose term of office expires in 2026: Bettina M. Cockroft, M.D., Douglas Love, Esq. and Thomas G. Wiggans. Bettina M. Cockroft, M.D. and Douglas Love, Esq. were nominated for director by the Board at the recommendation of the Nominating and Corporate Governance Committee. On February 12, 2026, Thomas G. Wiggans, notified our Board of his intent to retire as a member of the Board and therefore not stand for reelection at the Annual Meeting. Accordingly, Mr. Wiggans’ term as a director will end when his current term expires at the Annual Meeting. Bettina M. Cockroft, M.D. and Douglas Love, Esq. have served on our Board since January 2022 and</w:t>
      </w:r>
    </w:p>
    <w:p>
      <w:pPr>
        <w:spacing w:after="0" w:line="2" w:lineRule="exact"/>
        <w:rPr>
          <w:sz w:val="20"/>
          <w:szCs w:val="20"/>
          <w:color w:val="auto"/>
        </w:rPr>
      </w:pPr>
    </w:p>
    <w:p>
      <w:pPr>
        <w:jc w:val="both"/>
        <w:ind w:left="300" w:right="359"/>
        <w:spacing w:after="0" w:line="250" w:lineRule="auto"/>
        <w:rPr>
          <w:sz w:val="20"/>
          <w:szCs w:val="20"/>
          <w:color w:val="auto"/>
        </w:rPr>
      </w:pPr>
      <w:r>
        <w:rPr>
          <w:rFonts w:ascii="Times New Roman" w:cs="Times New Roman" w:eastAsia="Times New Roman" w:hAnsi="Times New Roman"/>
          <w:sz w:val="18"/>
          <w:szCs w:val="18"/>
          <w:color w:val="auto"/>
        </w:rPr>
        <w:t>December 2014, respectively. If elected at the Annual Meeting, each of the Class III nominees would serve until the 2029 annual meeting of stockholders and until his or her successor has been duly elected and qualified, or, if sooner, until each such director’s earlier death, resignation or removal. The current Class I directors, whose term will expire at the 2027 annual meeting of stockholders, are William H. Carson, M.D., William (BJ) Jones, Jr. and</w:t>
      </w:r>
    </w:p>
    <w:p>
      <w:pPr>
        <w:spacing w:after="0" w:line="2" w:lineRule="exact"/>
        <w:rPr>
          <w:sz w:val="20"/>
          <w:szCs w:val="20"/>
          <w:color w:val="auto"/>
        </w:rPr>
      </w:pPr>
    </w:p>
    <w:p>
      <w:pPr>
        <w:ind w:left="300" w:right="1159"/>
        <w:spacing w:after="0" w:line="260" w:lineRule="auto"/>
        <w:rPr>
          <w:sz w:val="20"/>
          <w:szCs w:val="20"/>
          <w:color w:val="auto"/>
        </w:rPr>
      </w:pPr>
      <w:r>
        <w:rPr>
          <w:rFonts w:ascii="Times New Roman" w:cs="Times New Roman" w:eastAsia="Times New Roman" w:hAnsi="Times New Roman"/>
          <w:sz w:val="18"/>
          <w:szCs w:val="18"/>
          <w:color w:val="auto"/>
        </w:rPr>
        <w:t>Muneer A. Satter and the current Class II directors, whose term will expire at the 2028 annual meeting of stockholders, are Jung E. Choi and William D. Waddill.</w:t>
      </w:r>
    </w:p>
    <w:p>
      <w:pPr>
        <w:spacing w:after="0" w:line="73"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Directors are elected by a plurality of the votes cast. Accordingly, the two nominees receiving the highest number of affirmative votes will be elected. Shares represented by executed proxies will be voted, if authority to do so is not withheld, for the election of the two nominees named below. Proxies cannot be voted for a greater number of persons than the nominees named. If any nominee becomes unavailable for election as a result of an unexpected occurrence, shares that would have been voted for that nominee will instead be voted for the election of a substitute nominee proposed by Annexon. Each person nominated for election has agreed to serve if elected. The Company’s management has no reason to believe that any nominee will be unable to serve.</w:t>
      </w:r>
    </w:p>
    <w:p>
      <w:pPr>
        <w:spacing w:after="0" w:line="29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A VOTE “FOR” EACH NAMED NOMINEE.</w:t>
      </w:r>
    </w:p>
    <w:p>
      <w:pPr>
        <w:spacing w:after="0" w:line="99"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Set forth below is certain biographical information and ages as of April 13, 2026 for each nominee and each director whose term will continue after the Annual Meeting.</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tcPr>
          <w:p>
            <w:pPr>
              <w:spacing w:after="0"/>
              <w:rPr>
                <w:sz w:val="13"/>
                <w:szCs w:val="13"/>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4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3"/>
        </w:trPr>
        <w:tc>
          <w:tcPr>
            <w:tcW w:w="47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 Carson, M.D.</w:t>
            </w:r>
          </w:p>
        </w:tc>
        <w:tc>
          <w:tcPr>
            <w:tcW w:w="86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67</w:t>
            </w:r>
          </w:p>
        </w:tc>
        <w:tc>
          <w:tcPr>
            <w:tcW w:w="440" w:type="dxa"/>
            <w:vAlign w:val="bottom"/>
            <w:shd w:val="clear" w:color="auto" w:fill="CCEEFF"/>
          </w:tcPr>
          <w:p>
            <w:pPr>
              <w:spacing w:after="0"/>
              <w:rPr>
                <w:sz w:val="21"/>
                <w:szCs w:val="21"/>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I</w:t>
            </w:r>
          </w:p>
        </w:tc>
        <w:tc>
          <w:tcPr>
            <w:tcW w:w="0" w:type="dxa"/>
            <w:vAlign w:val="bottom"/>
          </w:tcPr>
          <w:p>
            <w:pPr>
              <w:spacing w:after="0"/>
              <w:rPr>
                <w:sz w:val="1"/>
                <w:szCs w:val="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William (BJ) Jones, Jr.</w:t>
            </w:r>
          </w:p>
        </w:tc>
        <w:tc>
          <w:tcPr>
            <w:tcW w:w="86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62</w:t>
            </w:r>
          </w:p>
        </w:tc>
        <w:tc>
          <w:tcPr>
            <w:tcW w:w="44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I</w:t>
            </w:r>
          </w:p>
        </w:tc>
        <w:tc>
          <w:tcPr>
            <w:tcW w:w="0" w:type="dxa"/>
            <w:vAlign w:val="bottom"/>
          </w:tcPr>
          <w:p>
            <w:pPr>
              <w:spacing w:after="0"/>
              <w:rPr>
                <w:sz w:val="1"/>
                <w:szCs w:val="1"/>
                <w:color w:val="auto"/>
              </w:rPr>
            </w:pPr>
          </w:p>
        </w:tc>
      </w:tr>
      <w:tr>
        <w:trPr>
          <w:trHeight w:val="24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Muneer A. Satter</w:t>
            </w:r>
          </w:p>
        </w:tc>
        <w:tc>
          <w:tcPr>
            <w:tcW w:w="86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65</w:t>
            </w:r>
          </w:p>
        </w:tc>
        <w:tc>
          <w:tcPr>
            <w:tcW w:w="440" w:type="dxa"/>
            <w:vAlign w:val="bottom"/>
            <w:shd w:val="clear" w:color="auto" w:fill="CCEEFF"/>
          </w:tcPr>
          <w:p>
            <w:pPr>
              <w:spacing w:after="0"/>
              <w:rPr>
                <w:sz w:val="21"/>
                <w:szCs w:val="21"/>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I</w:t>
            </w:r>
          </w:p>
        </w:tc>
        <w:tc>
          <w:tcPr>
            <w:tcW w:w="0" w:type="dxa"/>
            <w:vAlign w:val="bottom"/>
          </w:tcPr>
          <w:p>
            <w:pPr>
              <w:spacing w:after="0"/>
              <w:rPr>
                <w:sz w:val="1"/>
                <w:szCs w:val="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Jung E. Choi</w:t>
            </w:r>
          </w:p>
        </w:tc>
        <w:tc>
          <w:tcPr>
            <w:tcW w:w="86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56</w:t>
            </w:r>
          </w:p>
        </w:tc>
        <w:tc>
          <w:tcPr>
            <w:tcW w:w="44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 II</w:t>
            </w:r>
          </w:p>
        </w:tc>
        <w:tc>
          <w:tcPr>
            <w:tcW w:w="0" w:type="dxa"/>
            <w:vAlign w:val="bottom"/>
          </w:tcPr>
          <w:p>
            <w:pPr>
              <w:spacing w:after="0"/>
              <w:rPr>
                <w:sz w:val="1"/>
                <w:szCs w:val="1"/>
                <w:color w:val="auto"/>
              </w:rPr>
            </w:pPr>
          </w:p>
        </w:tc>
      </w:tr>
      <w:tr>
        <w:trPr>
          <w:trHeight w:val="24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D. Waddill</w:t>
            </w:r>
          </w:p>
        </w:tc>
        <w:tc>
          <w:tcPr>
            <w:tcW w:w="86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69</w:t>
            </w:r>
          </w:p>
        </w:tc>
        <w:tc>
          <w:tcPr>
            <w:tcW w:w="440" w:type="dxa"/>
            <w:vAlign w:val="bottom"/>
            <w:shd w:val="clear" w:color="auto" w:fill="CCEEFF"/>
          </w:tcPr>
          <w:p>
            <w:pPr>
              <w:spacing w:after="0"/>
              <w:rPr>
                <w:sz w:val="21"/>
                <w:szCs w:val="21"/>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Class II</w:t>
            </w:r>
          </w:p>
        </w:tc>
        <w:tc>
          <w:tcPr>
            <w:tcW w:w="0" w:type="dxa"/>
            <w:vAlign w:val="bottom"/>
          </w:tcPr>
          <w:p>
            <w:pPr>
              <w:spacing w:after="0"/>
              <w:rPr>
                <w:sz w:val="1"/>
                <w:szCs w:val="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Bettina M. Cockroft, M.D.</w:t>
            </w:r>
          </w:p>
        </w:tc>
        <w:tc>
          <w:tcPr>
            <w:tcW w:w="86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59</w:t>
            </w:r>
          </w:p>
        </w:tc>
        <w:tc>
          <w:tcPr>
            <w:tcW w:w="44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III</w:t>
            </w: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Love, Esq.</w:t>
            </w:r>
          </w:p>
        </w:tc>
        <w:tc>
          <w:tcPr>
            <w:tcW w:w="86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58</w:t>
            </w: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III</w:t>
            </w:r>
          </w:p>
        </w:tc>
        <w:tc>
          <w:tcPr>
            <w:tcW w:w="0" w:type="dxa"/>
            <w:vAlign w:val="bottom"/>
          </w:tcPr>
          <w:p>
            <w:pPr>
              <w:spacing w:after="0"/>
              <w:rPr>
                <w:sz w:val="1"/>
                <w:szCs w:val="1"/>
                <w:color w:val="auto"/>
              </w:rPr>
            </w:pPr>
          </w:p>
        </w:tc>
      </w:tr>
      <w:tr>
        <w:trPr>
          <w:trHeight w:val="54"/>
        </w:trPr>
        <w:tc>
          <w:tcPr>
            <w:tcW w:w="47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23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 FOR ELECTION TO CLASS III EXPIRING AT THE 2026 ANNUAL MEETING</w:t>
      </w:r>
    </w:p>
    <w:p>
      <w:pPr>
        <w:spacing w:after="0" w:line="117"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Bettina M. Cockroft, M.D. </w:t>
      </w:r>
      <w:r>
        <w:rPr>
          <w:rFonts w:ascii="Times New Roman" w:cs="Times New Roman" w:eastAsia="Times New Roman" w:hAnsi="Times New Roman"/>
          <w:sz w:val="18"/>
          <w:szCs w:val="18"/>
          <w:color w:val="auto"/>
        </w:rPr>
        <w:t>has served as a member of our Board since January 2022. Dr. Cockroft has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Medical Officer of Cilcare Inc. since January 2025. From September 2019 to June 2023, Dr. Cockroft was Senior Vice President and Chief Medical Officer at Sangamo Therapeutics, Inc., a publicly-held biotechnology company, where she oversaw clinical development activities and operations. She has over 30 years of experience in the biopharmaceutical industry and has worked across multiple therapeutic areas and led programs in several countries. Prior to joining Sangamo, Dr. Cockroft served on the senior leadership team at Cytokinetics, Inc., a publicly-held biopharmaceutical company, where she was responsible for clinical development of fast skeletal muscle troponin activators in diseases such as Amyotrophic Lateral Sclerosis and Spinal Muscular Atrophy. She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70" w:lineRule="auto"/>
        <w:rPr>
          <w:sz w:val="20"/>
          <w:szCs w:val="20"/>
          <w:color w:val="auto"/>
        </w:rPr>
      </w:pPr>
      <w:r>
        <w:rPr>
          <w:rFonts w:ascii="Times New Roman" w:cs="Times New Roman" w:eastAsia="Times New Roman" w:hAnsi="Times New Roman"/>
          <w:sz w:val="17"/>
          <w:szCs w:val="17"/>
          <w:color w:val="auto"/>
        </w:rPr>
        <w:t>served as Vice President, Clinical Research, Neurology, at Cytokinetics from August 2017 to September 2019. From October 2016 to July 2017, Dr. Cockroft served as a pharmaceutical executive consultant, and prior to that, from September 2013 to September 2016, she served as Chief Medical Officer of Auris Medical AG, a biopharmaceutical company, where she led and grew the clinical development team responsible for two Phase 3 programs.</w:t>
      </w:r>
    </w:p>
    <w:p>
      <w:pPr>
        <w:spacing w:after="0" w:line="3" w:lineRule="exact"/>
        <w:rPr>
          <w:sz w:val="20"/>
          <w:szCs w:val="20"/>
          <w:color w:val="auto"/>
        </w:rPr>
      </w:pPr>
    </w:p>
    <w:p>
      <w:pPr>
        <w:ind w:left="300" w:right="459"/>
        <w:spacing w:after="0" w:line="253" w:lineRule="auto"/>
        <w:rPr>
          <w:sz w:val="20"/>
          <w:szCs w:val="20"/>
          <w:color w:val="auto"/>
        </w:rPr>
      </w:pPr>
      <w:r>
        <w:rPr>
          <w:rFonts w:ascii="Times New Roman" w:cs="Times New Roman" w:eastAsia="Times New Roman" w:hAnsi="Times New Roman"/>
          <w:sz w:val="18"/>
          <w:szCs w:val="18"/>
          <w:color w:val="auto"/>
        </w:rPr>
        <w:t>Dr. Cockroft also held roles of increasing responsibility at Merck Serono S.A., Novartis Consumer Health and Menarini Ricerche/Berlin-Chemie earlier in her career. Dr. Cockroft currently serves as a member of the board of directors of CNS Pharmaceuticals, Inc. Dr. Cockroft received an M.B.A. from MIT Sloan School of Management and an M.D. from the University of Genova (Italy). We believe that Dr. Cockroft is qualified to serve on our Board due to her educational background and her extensive experience in the biotechnology field.</w:t>
      </w:r>
    </w:p>
    <w:p>
      <w:pPr>
        <w:spacing w:after="0" w:line="75"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Douglas Love, Esq. </w:t>
      </w:r>
      <w:r>
        <w:rPr>
          <w:rFonts w:ascii="Times New Roman" w:cs="Times New Roman" w:eastAsia="Times New Roman" w:hAnsi="Times New Roman"/>
          <w:sz w:val="18"/>
          <w:szCs w:val="18"/>
          <w:color w:val="auto"/>
        </w:rPr>
        <w:t>has served as our President and Chief Executive Officer (“CEO”) and a member of our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December 2014 with extensive business and legal leadership experience in biotech. Prior to joining us, from 2008 to April 2013, he served as Head of Operations &amp; Strategic Alliances for Elan Pharmaceuticals, Inc., a biopharmaceutical company, where he led the Tysabri® multiple sclerosis franchise. Mr. Love also led Elan’s Alzheimer’s Immunotherapy Program, which was licensed to Johnson &amp; Johnson, as well as Elan’s global Commercial, Medical Affairs and Alliance Management groups. From 2006 to 2008, he served as Head of Strategic Alliances, Business Development &amp; Business Integration for Elan. Prior to joining Elan, Mr. Love served as an associate at the law firm Orrick, Herrington &amp; Sutcliffe LLP, as Corporate Counsel at Amgen, Inc., and as Section Corporate Counsel at Genentech, Inc., where he led the BioOncology Healthcare Law Group. Mr. Love received a B.S. in business administration from the University of Southern California and a J.D. with great distinction from McGeorge School of Law. We believe that Mr. Love is qualified to serve on our Board due to the valuable expertise and perspective he brings in his capacity as our President and CEO and because of his extensive experience and knowledge of our industry.</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I DIRECTORS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CONTINUING IN OFFICE UNTIL THE 2027 ANNUAL MEETING</w:t>
      </w:r>
    </w:p>
    <w:p>
      <w:pPr>
        <w:spacing w:after="0" w:line="95" w:lineRule="exact"/>
        <w:rPr>
          <w:sz w:val="20"/>
          <w:szCs w:val="20"/>
          <w:color w:val="auto"/>
        </w:rPr>
      </w:pPr>
    </w:p>
    <w:p>
      <w:pPr>
        <w:ind w:left="300" w:right="29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William H. Carson, M.D. </w:t>
      </w:r>
      <w:r>
        <w:rPr>
          <w:rFonts w:ascii="Times New Roman" w:cs="Times New Roman" w:eastAsia="Times New Roman" w:hAnsi="Times New Roman"/>
          <w:sz w:val="17"/>
          <w:szCs w:val="17"/>
          <w:color w:val="auto"/>
        </w:rPr>
        <w:t>has served as a member of our Board since February 2021. Dr. Carson was the chair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of directors of Otsuka Pharmaceutical Development &amp; Commercialization, Inc., a privately-held healthcare company, from January 2020 through March 2023. From 2002 to 2019, Dr. Carson held various executive leadership roles at Otsuka, most recently as President and Chief Executive Officer from 2010 to 2019. Prior to that, he worked at the Pharmaceutical Research Institute at Bristol Myers Squibb from 1998 to 2002. He was on faculty at the Medical University of South Carolina in the Department of Psychiatry and Behavioral Sciences from 1988 to 1998. Dr. Carson was the board chair of Decibel Therapeutics, Inc., a publicly-held clinical-stage biotechnology company from June 2021 until it was acquired by Regeneron in September 2023. He is also a member of the board of directors of Lutron Electronics. He previously served on the boards of Excision Biotherapeutics, Inc.,</w:t>
      </w:r>
    </w:p>
    <w:p>
      <w:pPr>
        <w:spacing w:after="0" w:line="2" w:lineRule="exact"/>
        <w:rPr>
          <w:sz w:val="20"/>
          <w:szCs w:val="20"/>
          <w:color w:val="auto"/>
        </w:rPr>
      </w:pPr>
    </w:p>
    <w:p>
      <w:pPr>
        <w:ind w:left="300" w:right="379"/>
        <w:spacing w:after="0" w:line="251" w:lineRule="auto"/>
        <w:rPr>
          <w:sz w:val="20"/>
          <w:szCs w:val="20"/>
          <w:color w:val="auto"/>
        </w:rPr>
      </w:pPr>
      <w:r>
        <w:rPr>
          <w:rFonts w:ascii="Times New Roman" w:cs="Times New Roman" w:eastAsia="Times New Roman" w:hAnsi="Times New Roman"/>
          <w:sz w:val="18"/>
          <w:szCs w:val="18"/>
          <w:color w:val="auto"/>
        </w:rPr>
        <w:t>Saama Technologies, Inc., a privately-held clinical analytics company, and Prevail Therapeutics, Inc., a publicly-held biotechnology company, until its acquisition by Eli Lilly &amp; Company, and of Internet2, a not-for-profit United States computer networking consortium. Dr. Carson also serves as an advisor to Artis Ventures, a venture capital firm that focuses on health and technology innovations. Dr. Carson is also chair of the Sozosei Foundation, the philanthropic arm of Otsuka America Pharmaceutical, Inc., and Board Chair Emeritus of the Sphinx Organization, which is dedicated to diversity in the arts. Dr. Carson received a B.A. in History and Science from Harvard College and an M.D. from Case Western Reserve University School of Medicine, followed by his residency in psychiatry at Tufts/New England Medical Center. We believe Dr. Carson is qualified to serve on our Board due to his educational background and his decades of experience in the biotechnology field.</w:t>
      </w:r>
    </w:p>
    <w:p>
      <w:pPr>
        <w:spacing w:after="0" w:line="81" w:lineRule="exact"/>
        <w:rPr>
          <w:sz w:val="20"/>
          <w:szCs w:val="20"/>
          <w:color w:val="auto"/>
        </w:rPr>
      </w:pPr>
    </w:p>
    <w:p>
      <w:pPr>
        <w:ind w:left="300" w:right="39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William (BJ) Jones, Jr. </w:t>
      </w:r>
      <w:r>
        <w:rPr>
          <w:rFonts w:ascii="Times New Roman" w:cs="Times New Roman" w:eastAsia="Times New Roman" w:hAnsi="Times New Roman"/>
          <w:sz w:val="17"/>
          <w:szCs w:val="17"/>
          <w:color w:val="auto"/>
        </w:rPr>
        <w:t>has served as a member of our Board since January 2025. He has over 30 years of U.S.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global commercial experience in the life sciences industry, with demonstrated commercial success at both large pharmaceutical and small biotechnology companies. Mr. Jones currently serves as the Chief Commercial Officer of NewAmsterdam Pharma Company N.V., a publicly-held biopharmaceutical company, since August 2023, where he leads all commercial functions, including marketing, market access, sales, medical science engagement and commercial operations. From April 2019 to December 2022, Mr. Jones served as Chief Commercial Officer, Migraine and Common Diseases of Biohaven Pharmaceuticals Holding Company Ltd., a biopharmaceutical company, where he was responsible for building the company’s commercial capability and launching its first FDA-approved product (Nurtec ODT), including through Biohaven’s acquisition by Pfizer in October 2022. Prior to Biohaven Pharmaceuticals, Mr. Jones served as Vice President, Head of Sales and Commercial Operations for the general medicine business unit of Takeda Pharmaceutical Company Limited, a publicly-held pharmaceutical company, from January 2016 to March 2019. Mr. Jones also served on the board of directors of Akili, Inc.,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publicly-held biopharmaceutical company from May 2022 to July 2024. He previously held executive leadership roles of increasing responsibility at AstraZeneca, Bristol-Myers Squibb, Boehringer-Ingelheim and NitroMed, and has significant experience in large market product launches, including Nurtec® ODT, Abilify®, Farxiga®, Pradaxa®, BiDil®and Excedrin Migraine®. Mr. Jones currently serves on the board of directors of Apogee Therapeutics, Inc., a publicly-held biopharmaceutical company. Mr. Jones received a B.S. in human factors engineering from the U.S. Air Force Academy, an M.S. in industrial engineering from Texas A&amp;M University and an M.B.A. from the Stanford University Graduate School of Business. We believe Mr. Jones is qualified to serve on our Board due to his experience as an executive and a board member of biopharmaceutical companies.</w:t>
      </w:r>
    </w:p>
    <w:p>
      <w:pPr>
        <w:spacing w:after="0" w:line="80" w:lineRule="exact"/>
        <w:rPr>
          <w:sz w:val="20"/>
          <w:szCs w:val="20"/>
          <w:color w:val="auto"/>
        </w:rPr>
      </w:pPr>
    </w:p>
    <w:p>
      <w:pPr>
        <w:ind w:left="300" w:right="3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Muneer A. Satter </w:t>
      </w:r>
      <w:r>
        <w:rPr>
          <w:rFonts w:ascii="Times New Roman" w:cs="Times New Roman" w:eastAsia="Times New Roman" w:hAnsi="Times New Roman"/>
          <w:sz w:val="17"/>
          <w:szCs w:val="17"/>
          <w:color w:val="auto"/>
        </w:rPr>
        <w:t>has served as a member of our Board since December 2014. Mr. Satter has been Founder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Managing Partner of Satter Medical Technology Partners, L.P. since 2016, and chair of Satter Investment Management, LLC, a private investment firm and family office, since 2012, and he also manages the Satter Foundation, a private family foundation. Prior to Satter Investment Management, Mr. Satter is a retired partner at Goldman Sachs where he spent 24 years in various roles, most recently as a senior member of the Merchant Banking Investment Committee overseeing private equity and debt investments, and the Global Head of the Mezzanine Group in the Merchant Banking Division, where he raised and managed over $30 billion of assets and served as a Chairman of their Risk Committee. Mr. Satter was a member of the board of directors of Aerpio Pharmaceuticals, Inc., a publicly-held biopharmaceutical company, from October 2013 to June 2020, a member and chair of the board of directors of Akebia Therapeutics, Inc. from May 2013 to December 2018 and a member of the board of directors of Vital Therapies, Inc., a publicly-held biotherapeutic company, from October 2012 to October 2018. Mr. Satter currently serves as Vice Chair of the Goldman Sachs Foundation and GS Gives, where he is also chair of the Investment Committee. Mr. Satter is also on the Board of Advisors of Accelerate Institute, on the Board of Trustees of the US Olympic and Paralympic Foundation and on the board of directors of the Navy SEAL Foundation and Northwestern Medical Group. He is a member of the Council on Foreign Relations. Mr. Satter is on the board of trustees of Northwestern University, where he was also previously chair of the Finance Committee. Mr. Satter is a former member of the Board of the Nature Conservancy where he was chairman of the Finance Committee and a former member of the Advisory Council of The Elders founded by Richard Branson, Nelson Mandela and Archbishop Desmond Tutu. Mr. Satter is also a director of Alzheon Inc., a privately held company developing treatments for Alzheimer’s disease. Mr. Satter received a B.A. in Economics from Northwestern University, a J.D. from Harvard Law School and an M.B.A. from Harvard Business School. We believe that Mr. Satter is qualified to serve on our Board due to his experience in the financial industry, his experience as a board member of biotechnology and pharmaceutical companies and his experience as an investor in life sciences companies.</w:t>
      </w:r>
    </w:p>
    <w:p>
      <w:pPr>
        <w:spacing w:after="0" w:line="200" w:lineRule="exact"/>
        <w:rPr>
          <w:sz w:val="20"/>
          <w:szCs w:val="20"/>
          <w:color w:val="auto"/>
        </w:rPr>
      </w:pP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II DIRECTORS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CONTINUING IN OFFICE UNTIL THE 2028 ANNUAL MEETING</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Jung E. Choi </w:t>
      </w:r>
      <w:r>
        <w:rPr>
          <w:rFonts w:ascii="Times New Roman" w:cs="Times New Roman" w:eastAsia="Times New Roman" w:hAnsi="Times New Roman"/>
          <w:sz w:val="18"/>
          <w:szCs w:val="18"/>
          <w:color w:val="auto"/>
        </w:rPr>
        <w:t>has served as a member of our Board since June 2020. Ms. Choi has served as the President and Chief</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Executive Officer and a member of the Board of Directors of Alterome Therapeutics since April 2025. From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2015 until April 2023, Ms. Choi served as Chief Business and Strategy Officer of Global Blood Therapeutics,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 a biopharmaceutical company that was acquired by Pfizer Inc. in October 2022, responsible for corporate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strategy, business development, R&amp;D portfolio strategy and program management, patient advocacy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government affairs. From April 2014 to March 2015, Ms. Choi served as Senior Vice President, Corporate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Development for InterMune, Inc., a biotechnology company that was acquired by Roche Holding AG in 2014,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served as an adviser on strategy and business development to InterMune from March 2013 to April 2014. Prior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joining InterMune, from February 2011 to March 2013, Ms. Choi led corporate and business development for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Chimerix, Inc., a publicly-held biopharmaceutical company, as a consultant and Senior Vice President, Corporate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Development. Prior to that, from August 2001 to August 2010, Ms. Choi held various management positions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increasing responsibility at Gilead Sciences, Inc., a publicly-held biopharmaceutical company, including leadership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business development, licensing and mergers and acquisition activities. During her tenure at Gilead Sciences,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Ms. Choi built and oversaw the corporate development group, and led the U.S. commercial launch of Hepsera® for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treatment of the hepatitis B virus. Ms. Choi has also served as an Entrepreneur-In-Residence at Third Rock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Ventures from May 2023 to March 2025, and a Vice President of Bay City Capital LLC from 1991 to 2001.</w:t>
      </w:r>
    </w:p>
    <w:p>
      <w:pPr>
        <w:spacing w:after="0" w:line="9" w:lineRule="exact"/>
        <w:rPr>
          <w:sz w:val="20"/>
          <w:szCs w:val="20"/>
          <w:color w:val="auto"/>
        </w:rPr>
      </w:pPr>
    </w:p>
    <w:p>
      <w:pPr>
        <w:ind w:left="300" w:right="459"/>
        <w:spacing w:after="0" w:line="260" w:lineRule="auto"/>
        <w:rPr>
          <w:sz w:val="20"/>
          <w:szCs w:val="20"/>
          <w:color w:val="auto"/>
        </w:rPr>
      </w:pPr>
      <w:r>
        <w:rPr>
          <w:rFonts w:ascii="Times New Roman" w:cs="Times New Roman" w:eastAsia="Times New Roman" w:hAnsi="Times New Roman"/>
          <w:sz w:val="18"/>
          <w:szCs w:val="18"/>
          <w:color w:val="auto"/>
        </w:rPr>
        <w:t>Ms. Choi received a B.A. in Human Biology and an M.B.A. from Stanford University. We believe that Ms. Choi is qualified to serve on our Board due to her experience as an executive of biotechnology companies.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47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D. Waddill </w:t>
      </w:r>
      <w:r>
        <w:rPr>
          <w:rFonts w:ascii="Times New Roman" w:cs="Times New Roman" w:eastAsia="Times New Roman" w:hAnsi="Times New Roman"/>
          <w:sz w:val="18"/>
          <w:szCs w:val="18"/>
          <w:color w:val="auto"/>
        </w:rPr>
        <w:t>has served as a member of our Board since August 2021. From April 2014 to December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Waddill served as Senior Vice President and Chief Financial Officer, Treasurer and Secretary of</w:t>
      </w:r>
    </w:p>
    <w:p>
      <w:pPr>
        <w:spacing w:after="0" w:line="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Calithera Biosciences, Inc., a publicly-held biotechnology company. From October 2007 to March 2014, he served as Senior Vice President and Chief Financial Officer of OncoMed Pharmaceuticals, Inc., a publicly-held biopharmaceutical company. From October 2006 to September 2007, Mr. Waddill served as the Senior Vice President, Chief Financial Officer of Ilypsa, Inc., a biotechnology company that was acquired in 2007 by Amgen, Inc. From February 2000 to September 2006, he served as a Principal at Square One Finance, a financial consulting business. He has served as a director of Arrowhead Pharmaceuticals, Inc., a biopharmaceutical company, since January 2018 and of Protagonist Therapeutics, Inc., since July 2016. He previously served as a director of Turnstone Biologics Corp., a biotechnology company, from April 2024 to August 2025. Mr. Waddill received a B.S. in Accounting from the University of Illinois, Chicago, and a certification as a public accountant, which is currently inactive after working at PricewaterhouseCoopers LLP and Deloitte LLP. We believe that Mr. Waddill is qualified to serve on our Board due to his financial expertise and his extensive experience in the biotechnology field.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REGARDING THE BOARD AND CORPORATE GOVERNANCE</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Our common stock is listed on The Nasdaq Stock Market (“Nasdaq”). Under the Marketplace Rules of Nasdaq (the “Nasdaq Listing Rules”), independent directors must comprise a majority of a listed company’s Board. Audit Committee members must also satisfy the independence criteria set forth in Rule 10A-3 under the Exchange Act. Under the rules of Nasdaq, a director will only qualify as an “independent director” if, in the opinion of that company’s Board, that person does not have a relationship that would interfere with the exercise of independent judgment in carrying out the responsibilities of a director.</w:t>
      </w:r>
    </w:p>
    <w:p>
      <w:pPr>
        <w:spacing w:after="0" w:line="79"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7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To be considered independent for purposes of Rule 10C-1 and under the rules of Nasdaq, the Board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84"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Our Board has determined that all of our directors, other than Mr. Love, qualify as “independent” directors as that term is defined under the Nasdaq Listing Rules. Mr. Love is not considered independent by virtue of his position as our President and CEO. Under the Nasdaq Listing Rules, the definition of independence includes a series of objective tests, such as that the director is not, and has not been for at least three years, one of our employees and that neither the director nor any of his or her family members have engaged in various types of business dealings with us. In addition, as required by the Nasdaq Listing Rules, our Board has made a subjective determination as to each independent director that no relationships exist that, in the opinion of our Board, would interfere with the exercise of independent judgment in carrying out the responsibilities of a director.</w:t>
      </w:r>
    </w:p>
    <w:p>
      <w:pPr>
        <w:spacing w:after="0" w:line="84"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 and the transactions involving them. There are no family relationships among any of our directors or executive officers.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121"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Our amended and restated bylaws and corporate governance guidelines provide our Board with flexibility to combine or separate the positions of chair of the Board and Chief Executive Officer. Currently, the role of chair of the Board is separated from the role of Chief Executive Officer. Mr. Wiggans serves as chair of the Board and Mr. Love serves as our Chief Executive Officer. The Board has concluded that our current leadership structure is appropriate at this time. We believe that separating these positions allows our Chief Executive Officer to focus on our day-to-day business operations and strategy, while allowing our chair of the Board to lead the Board in its fundamental role of providing advice to, and independent oversight of, management. Our Board recognizes the time, effort and energy that the Chief Executive Officer is required to devote to his position in the current business environment, as well as the commitment required to serve as chair of the Board, particularly as the Board’s oversight responsibilities continue to grow. In addition, we believe the chair of the Board is well-positioned to act as a bridge between management and the board, facilitating the regular flow of information. Among other duties, the chair of the Board may represent the Board in communications with stockholders and provide input on the structure and composition of the Board. The Board will continue to periodically review our leadership structure and may make such changes in the future as it deems appropriate. During its routine review of the board’s leadership structure, the Board and the Company regularly consider the circumstances under which the roles of chair of the Board and Chief Executive Officer could most effectively serve the interests of the Company and its stockholders if combined.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21"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she considers appropriate.</w:t>
      </w:r>
    </w:p>
    <w:p>
      <w:pPr>
        <w:spacing w:after="0" w:line="68" w:lineRule="exact"/>
        <w:rPr>
          <w:sz w:val="20"/>
          <w:szCs w:val="20"/>
          <w:color w:val="auto"/>
        </w:rPr>
      </w:pPr>
    </w:p>
    <w:p>
      <w:pPr>
        <w:jc w:val="both"/>
        <w:ind w:left="300" w:right="399"/>
        <w:spacing w:after="0" w:line="258" w:lineRule="auto"/>
        <w:rPr>
          <w:sz w:val="20"/>
          <w:szCs w:val="20"/>
          <w:color w:val="auto"/>
        </w:rPr>
      </w:pPr>
      <w:r>
        <w:rPr>
          <w:rFonts w:ascii="Times New Roman" w:cs="Times New Roman" w:eastAsia="Times New Roman" w:hAnsi="Times New Roman"/>
          <w:sz w:val="18"/>
          <w:szCs w:val="18"/>
          <w:color w:val="auto"/>
        </w:rPr>
        <w:t>Historically, the Company has not provided a formal process related to stockholder communications with the Board because it has not been determined to be necessary to facilitate stockholder communications. Every effort has been made to ensure that the views of stockholders are heard by the Board or individual directors, as applicable, and that appropriate responses are provided to stockholders in a timely manner. The Company believes its responsiveness to stockholder communications to the Board has been excellent.</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2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 Management’s involvement in day-to-day risk management enables them to assist our Board in the effective design, establishment, maintenance, review and evaluation of the Company’s disclosure controls and procedures. Our Board does not have a standing risk management committee, but rather administers this oversight function directly through our Board as a whole, as well as through various standing committees of our Board that address risks inherent in their respective areas of oversight. While our Board is responsible for monitoring and assessing strategic risk exposure, including risks associated with our strategic plan and business operations, our Audit Committee is responsible for overseeing our major financial risk exposures and cybersecurity risk exposures and the steps our management has taken to monitor and control these exposures. The Audit Committee also approves or disapproves any related person transactions. Our Compensation Committee assesses and monitors whether any of our compensation policies and programs has the potential to encourage excessive risk-taking. Our Nominating and Corporate Governance Committee oversees the management of risks associated with director independence and composition and organization of our Board, and monitors the effectiveness of our corporate governance guidelines.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Board met 7 times during the last fiscal year. Each Board member attended 85% or more of the aggregate number of meetings of the Board and of the committees on which he or she served, held during the portion of the last fiscal year for which he or she was a director or committee member. As required under applicable Nasdaq listing standards, in fiscal year 2025, the Company’s independent directors met regularly in executive sessions at which only independent directors were present. The Company does not have a formal policy requiring the members of our Board to attend its annual meetings of stockholders, although directors are encouraged to attend annual meetings. All directors attended the Company’s 2025 annual meeting of stockholders.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Board has four standing committees: an Audit Committee, a Compensation Committee, a Nominating and Corporate Governance Committee and a Science and Technology Committee. Our Board has adopted charters for each of its committees, which can be found in the “Corporate Governance” section of our corporate website at https://ir.annexonbio.com/corporate-governance/governance-overview. The Board also establishes other committees as it deems necessary or appropriate from time to time. Information contained on, or that can be accessed through, our website does not constitute part of this proxy statement.</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Below is a description of each standing committee of the Board.</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300" w:right="419"/>
        <w:spacing w:after="0" w:line="289" w:lineRule="auto"/>
        <w:rPr>
          <w:sz w:val="20"/>
          <w:szCs w:val="20"/>
          <w:color w:val="auto"/>
        </w:rPr>
      </w:pPr>
      <w:r>
        <w:rPr>
          <w:rFonts w:ascii="Times New Roman" w:cs="Times New Roman" w:eastAsia="Times New Roman" w:hAnsi="Times New Roman"/>
          <w:sz w:val="17"/>
          <w:szCs w:val="17"/>
          <w:color w:val="auto"/>
        </w:rPr>
        <w:t>The Audit Committee consists of Mr. Waddill, Mr. Satter and Dr. Cockroft. Mr. Waddill is the chairperson of the Audit Committee. Our Board has determined that all members are independent under the Nasdaq Listing Rules and Rule 10A-3(b)(1) of the Exchange Act. Our Board has determined that each of Mr. Satter and Mr. Waddill is an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Audit Committee financial expert as such term is currently defined in Item 407(d)(5) of Regulation S-K. Our Board has also determined that each member of our Audit Committee can read and understand fundamental consolidated financial statements, in accordance with applicable requirements.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Specific responsibilities of our Audit Committee include:</w:t>
      </w:r>
    </w:p>
    <w:p>
      <w:pPr>
        <w:spacing w:after="0" w:line="117" w:lineRule="exact"/>
        <w:rPr>
          <w:sz w:val="20"/>
          <w:szCs w:val="20"/>
          <w:color w:val="auto"/>
        </w:rPr>
      </w:pPr>
    </w:p>
    <w:p>
      <w:pPr>
        <w:ind w:left="1000" w:right="103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engagement, compensation, retention and oversight of the work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any audit and non-audit service provided to us by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our financial statements with management, including our management’s discussion and analysis of financial condition and results of operations to be included in our Annual and Quarterly Reports to be filed with the SEC;</w:t>
      </w:r>
    </w:p>
    <w:p>
      <w:pPr>
        <w:spacing w:after="0" w:line="6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results of the annual audit and the review of our quarterly financial statements;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our policies with respect to risk assessment and risk management;</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any complaints received by us regarding accounting, internal accounting controls or auditing matters;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with management to establish procedures and internal controls relating to cybersecurity;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 party transactions;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any reports received through the ethics helpline and reports to the Board periodically with respect to any information received through the ethics helpline and any related investigations; and</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 annual assessment of the performance of the Audit Committee and its members, and the adequacy of its charter.</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met four times in 2025.</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2025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communications from the independent registered public accounting firm required by the PCAOB concerning independence, and has discussed the firm’s independence with them. Based on the foregoing, the Audit Committee recommended to the Board of Directors that the audited financial statements be included in the Company’s Annual Report on Form 10-K for the fiscal year ended December 31, 2025.</w:t>
      </w:r>
    </w:p>
    <w:p>
      <w:pPr>
        <w:spacing w:after="0" w:line="15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Dr. Bettina Cockroft</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Mr. Muneer Satter</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Mr. William D. Waddill (Chair)</w:t>
      </w:r>
    </w:p>
    <w:p>
      <w:pPr>
        <w:spacing w:after="0" w:line="3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300" w:right="359"/>
        <w:spacing w:after="0" w:line="277" w:lineRule="auto"/>
        <w:rPr>
          <w:sz w:val="20"/>
          <w:szCs w:val="20"/>
          <w:color w:val="auto"/>
        </w:rPr>
      </w:pPr>
      <w:r>
        <w:rPr>
          <w:rFonts w:ascii="Times New Roman" w:cs="Times New Roman" w:eastAsia="Times New Roman" w:hAnsi="Times New Roman"/>
          <w:sz w:val="17"/>
          <w:szCs w:val="17"/>
          <w:color w:val="auto"/>
        </w:rPr>
        <w:t>The Compensation Committee consists of Mr. Wiggans, Dr. Carson, Ms. Choi and Mr. Waddill. Ms. Choi is the chairperson of the Compensation Committee. Mr. Wiggans will not be standing for re-appointment at the Annual Meeting and will retire from the board and each of the committees at the expiration of his current term as a director, as of the date of the Annual Meeting. Our Board has determined that all members are independent under the Nasdaq Listing Rules and are “non-employee directors” as defined in Rule 16b-3 promulgated under the Exchange Act.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Specific responsibilities of the Compensation Committee include:</w:t>
      </w:r>
    </w:p>
    <w:p>
      <w:pPr>
        <w:spacing w:after="0" w:line="117" w:lineRule="exact"/>
        <w:rPr>
          <w:sz w:val="20"/>
          <w:szCs w:val="20"/>
          <w:color w:val="auto"/>
        </w:rPr>
      </w:pPr>
    </w:p>
    <w:p>
      <w:pPr>
        <w:ind w:left="1000" w:right="45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our chief executive officer and other executive officers;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corporate performance goals and objectives relevant to such compensation;</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considering the results of our most recent stockholder advisory vote on the compensation of our executive officers, if any;</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amending, managing, periodically reviewing and, where appropriate, terminating our equity incentive plans, compensation plans and similar programs;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recommending to the Board the compensation paid to our directors;</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assessing and providing oversight with respect to our strategy, initiatives and policies concerning employee diversity and inclusion goals; and</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 annual assessment of the performance of the Compensation Committee and its members, and the adequacy of its charter.</w:t>
      </w:r>
    </w:p>
    <w:p>
      <w:pPr>
        <w:spacing w:after="0" w:line="54"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The Compensation Committee retains Alpine Rewards, an independent executive compensation consulting firm (“Alpine”), as its outside compensation consultant, to assess our executive and director compensation programs. Alpine attends Compensation Committee meetings when invited and meets with the Compensation Committee without management. Alpine provides the Compensation Committee with third-party data and analysis as well as advice and expertise on competitive compensation practices and trends, executive compensation plans and program designs and proposed executive and director compensation levels. Alpine reports directly to the Compensation Committee and, as directed by the Compensation Committee, works with management and the chair of the Compensation Committee.</w:t>
      </w:r>
    </w:p>
    <w:p>
      <w:pPr>
        <w:spacing w:after="0" w:line="1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2025 compensation, Alpine assisted the Compensation Committee with the following:</w:t>
      </w:r>
    </w:p>
    <w:p>
      <w:pPr>
        <w:spacing w:after="0" w:line="117"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peer group of companies for our executive and director compensation analysis;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company-wide market-based compensation guidelines;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company-wide market-based equity compensation guidelines for new hires and annual grants;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executive compensation market-based benchmarking data.</w:t>
      </w:r>
    </w:p>
    <w:p>
      <w:pPr>
        <w:spacing w:after="0" w:line="117"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Compensation Committee regularly reviews the services provided by its outside consultants, and it has assessed the independence of Alpine consistent with SEC rules and Nasdaq Listing Rules. In doing so, the Compensation Committee considered each of the factors set forth by the SEC and Nasdaq with respect to a compensation consultant’s independence. The Compensation Committee also considered the nature and amount of work performed for the Compensation Committee and the fees paid for those services in relation to the firm’s total revenues. On the basis of its consideration of the foregoing and other relevant factors, the Compensation Committee has determined that Alpine is independent, and that no conflicts of interest exist between the Company and Alpine.</w:t>
      </w:r>
    </w:p>
    <w:p>
      <w:pPr>
        <w:spacing w:after="0" w:line="81" w:lineRule="exact"/>
        <w:rPr>
          <w:sz w:val="20"/>
          <w:szCs w:val="20"/>
          <w:color w:val="auto"/>
        </w:rPr>
      </w:pPr>
    </w:p>
    <w:p>
      <w:pPr>
        <w:ind w:left="300" w:right="319"/>
        <w:spacing w:after="0" w:line="289" w:lineRule="auto"/>
        <w:rPr>
          <w:sz w:val="20"/>
          <w:szCs w:val="20"/>
          <w:color w:val="auto"/>
        </w:rPr>
      </w:pPr>
      <w:r>
        <w:rPr>
          <w:rFonts w:ascii="Times New Roman" w:cs="Times New Roman" w:eastAsia="Times New Roman" w:hAnsi="Times New Roman"/>
          <w:sz w:val="17"/>
          <w:szCs w:val="17"/>
          <w:color w:val="auto"/>
        </w:rPr>
        <w:t>The Compensation Committee may delegate its authority under its charter to one or more subcommittees as it deems appropriate from time to time. The Compensation Committee may also delegate to an officer the authority to grant equity awards to certain employees, as further described in its charter and subject to the terms of our equity plans.</w:t>
      </w:r>
    </w:p>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met four times in 2025.</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year ended December 31, 2025, our Compensation Committee consisted of Dr. Carson, Ms. Choi,</w:t>
      </w:r>
    </w:p>
    <w:p>
      <w:pPr>
        <w:spacing w:after="0" w:line="27"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Mr. Wiggans and Mr. Waddill. None of our directors who serve as a member of our Compensation Committee is, or has at any time during the past year been, one of our officers or employees. None of our executive officers currently serves, or has served during the last completed fiscal year, on the Compensation Committee or board of directors of any other entity that has one or more executive officers serving as a member of our Board or Compensation Committee.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Nominating and Corporate Governance Committee consists of Mr. Satter, Mr. Waddill, Mr. Wiggans and</w:t>
      </w:r>
    </w:p>
    <w:p>
      <w:pPr>
        <w:spacing w:after="0" w:line="27"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Mr. Jones. The chair of our Nominating and Corporate Governance Committee is Mr. Satter. Mr. Wiggans will not be standing for re-appointment at the Annual Meeting and will retire from the board and each of the committees at the expiration of his current term as a director, as of the date of the Annual Meeting. Our Board has determined that all members of the Nominating and Corporate Governance Committee are independent under the Nasdaq Listing Rules.</w:t>
      </w:r>
    </w:p>
    <w:p>
      <w:pPr>
        <w:spacing w:after="0" w:line="79"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making recommendations to our Board regarding candidates for directorships and the size and composition of our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 In addition, the Nominating and Corporate Governance Committee is responsible for overseeing our corporate governance policies and making recommendations to our Board concerning governance matters and for periodically reviewing, assessing and providing oversight with respect to our strategy, initiatives and policies concerning corporate social responsibility, including, but not limited to, Board diversity and inclusion goals, environmental matters and related governance matters.</w:t>
      </w:r>
    </w:p>
    <w:p>
      <w:pPr>
        <w:spacing w:after="0" w:line="88"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Jennifer Lew, Corporate Secretary, Annexon, Inc., 1400 Sierra Point Parkway, Bldg C, Suite 200, Brisbane, California 94005.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1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Nominating and Corporate Governance Committee met once in 2025.</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Science and Technology Committee</w:t>
      </w:r>
    </w:p>
    <w:p>
      <w:pPr>
        <w:spacing w:after="0" w:line="121" w:lineRule="exact"/>
        <w:rPr>
          <w:sz w:val="20"/>
          <w:szCs w:val="20"/>
          <w:color w:val="auto"/>
        </w:rPr>
      </w:pPr>
    </w:p>
    <w:p>
      <w:pPr>
        <w:ind w:left="300" w:right="619"/>
        <w:spacing w:after="0" w:line="266" w:lineRule="auto"/>
        <w:rPr>
          <w:sz w:val="20"/>
          <w:szCs w:val="20"/>
          <w:color w:val="auto"/>
        </w:rPr>
      </w:pPr>
      <w:r>
        <w:rPr>
          <w:rFonts w:ascii="Times New Roman" w:cs="Times New Roman" w:eastAsia="Times New Roman" w:hAnsi="Times New Roman"/>
          <w:sz w:val="18"/>
          <w:szCs w:val="18"/>
          <w:color w:val="auto"/>
        </w:rPr>
        <w:t>The Science and Technology Committee currently consists of Dr. Carson, Dr. Cockroft, Mr. Jones and Ms. Choi, each of whom meets the requirements for independence under current Nasdaq Listing Rules and SEC rules and regulations. The chair of our Science and Technology Committee is Dr. Carson.</w:t>
      </w:r>
    </w:p>
    <w:p>
      <w:pPr>
        <w:spacing w:after="0" w:line="68"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The Committee’s responsibility is to provide oversight and to engage management and the Board with regard to the significant scientific, medical and technological aspects of our business.</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Specific responsibilities of the Science and Technology Committee include:</w:t>
      </w:r>
    </w:p>
    <w:p>
      <w:pPr>
        <w:spacing w:after="0" w:line="117" w:lineRule="exact"/>
        <w:rPr>
          <w:sz w:val="20"/>
          <w:szCs w:val="20"/>
          <w:color w:val="auto"/>
        </w:rPr>
      </w:pPr>
    </w:p>
    <w:p>
      <w:pPr>
        <w:ind w:left="1000" w:right="87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advising, on our strategic direction with respect to, and investment in, research and development and technology for our current and planned platform and pipeline, including research, preclinical and clinical development programs;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and discussing with management science, medical and technology-related operational issues; and</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and reviewing reports and presentations from management on the status of our science and technology strategy.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Science and Technology Committee met twice in 2025.</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300" w:right="539"/>
        <w:spacing w:after="0" w:line="312" w:lineRule="auto"/>
        <w:rPr>
          <w:sz w:val="20"/>
          <w:szCs w:val="20"/>
          <w:color w:val="auto"/>
        </w:rPr>
      </w:pPr>
      <w:r>
        <w:rPr>
          <w:rFonts w:ascii="Times New Roman" w:cs="Times New Roman" w:eastAsia="Times New Roman" w:hAnsi="Times New Roman"/>
          <w:sz w:val="17"/>
          <w:szCs w:val="17"/>
          <w:color w:val="auto"/>
        </w:rPr>
        <w:t>Our Nominating and Corporate Governance Committee is responsible for reviewing with the Board, on an annual basis, the appropriate characteristics, skills and experience required for the Board as a whole and its individual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members. In evaluating the suitability of individual candidates (both new candidates and current members), the Nominating and Corporate Governance Committee, in recommending candidates for election, and the Board, in approving (and, in the case of vacancies, appointing) such candidates, may take into account many factors, including but not limited to the following:</w:t>
      </w:r>
    </w:p>
    <w:p>
      <w:pPr>
        <w:spacing w:after="0" w:line="72"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integrity;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ethics and values;</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publicly-held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and academic experience relevant to our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as a Board member of another publicly-held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leadership skills;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finance and accounting and/or executive compensation practices;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devote the time required for preparation, participation and attendance at Board meetings and committee meetings, if applicable;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gender, age and ethnicity;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make mature business judgments.</w:t>
      </w:r>
    </w:p>
    <w:p>
      <w:pPr>
        <w:spacing w:after="0" w:line="117"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Our Board will evaluate each individual in the context of the Board as a whole, with the objective of ensuring that the Board, as a whole, has the necessary tools to perform its oversight function effectively using its diversity of experience in these various areas in light of our business and structure.</w:t>
      </w:r>
    </w:p>
    <w:p>
      <w:pPr>
        <w:spacing w:after="0" w:line="68"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We believe that our Board, taken as a whole, should embody a diverse set of skills, experiences and backgrounds. While our Nominating and Corporate Governance Committee does not assign any particular weighting to diversity or any other characteristic, the committee and our Board take diversity into consideration, including with respect to gender, race and national origin, in evaluating nominees and directors. Our Nominating and Corporate Governance Committee’s and our Board’s priority in selecting board members is identification of persons who will further the interests of our stockholders.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HUMAN CAPITAL AND DIVERSITY EFFORTS</w:t>
      </w:r>
    </w:p>
    <w:p>
      <w:pPr>
        <w:spacing w:after="0" w:line="121"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7"/>
          <w:szCs w:val="17"/>
          <w:color w:val="auto"/>
        </w:rPr>
        <w:t>We believe that developing a diverse and inclusive culture is critical to continuing to attract and retain the experienced, talented and high-performing workforce necessary to further our commitment to advancing transformative medicines for patients suffering from debilitating autoimmune and neurodegenerative diseases. As such, we are investing in a culture of inclusion in which all employees feel respected and safe. We aim to assemble a team that can best perpetuate the success of the business through the exercise of sound judgment using its diversity of experience, thought, backgrounds and cultures. As of March 31, 2026, we had 93 employees, approximately</w:t>
      </w:r>
    </w:p>
    <w:p>
      <w:pPr>
        <w:spacing w:after="0" w:line="5"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56% of which were female, including 40% of our senior management, and approximately 24% of our positions were filled by employees who are from diverse demographic backgrounds. In addition, our Board currently consists of two directors that are female and six directors from diverse demographic backgrounds.</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all of our directors, officers and employees, including those officers responsible for financial reporting. The full text of our code of business conduct and ethics is posted on our website at www.annexonbio.com. Any amendment to, or waiver of, a provision of the code of business conduct and ethics that applies to our directors or our principal executive officer, principal financial officer, principal accounting officer or controller, or persons performing similar functions will be disclosed on our website as required by law or the rules of Nasdaq. Information contained on, or that can be accessed through, our website does not constitute part of this proxy statement.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INSIDER TRADING, ANTI-HEDGING AND ANTI-PLEDGING POLICIES</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Our Board has adopted an insider trading compliance policy, which applies to all of our directors, officers, employees and consultants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2025. In addition, it is our intent to comply with applicable laws and regulations relating to insider trading. Among other things, pursuant to our insider trading compliance policy, our directors, officers, employees and consultants, are prohibited from purchasing financial instruments such as zero-cost collars and forward sale contracts, or otherwise engaging in transactions that hedge, or are designed to hedge, any decrease in the market value of the Company’s equity securities, or that may cause an officer, director or employee to no longer have the same objectives as our other stockholders. In addition, our insider trading compliance policy provides that no director, officer, employee or consultant may pledge company securities as collateral to secure loans. This prohibition means, among other things, that these individuals may not hold company securities in a “margin” account, which would allow the individual to borrow against their holdings to buy securities.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9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has selected KPMG LLP as the Company’s independent registered public accounting firm for the fiscal year ending December 31, 2026 and has further directed that management submit the selection of its independent registered public accounting firm for ratification by the stockholders at the Annual Meeting. KPMG has served as the Company’s auditor since 2016. Representatives of KPMG LLP are expected to be present at the Annual Meeting. They will have an opportunity to make a statement if they so desire and will be available to respond to appropriate questions.</w:t>
      </w:r>
    </w:p>
    <w:p>
      <w:pPr>
        <w:spacing w:after="0" w:line="79"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KPMG LLP as the Company’s independent registered public accounting firm. However, the Audit Committee of the Board is submitting the selection of KPMG LLP to the stockholders for ratification as a matter of good corporate practice. If the stockholders fail to ratify the selection, the Audit Committee of the Board will reconsider whether or not to retain KPMG LLP or another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SERVICES</w:t>
      </w:r>
    </w:p>
    <w:p>
      <w:pPr>
        <w:spacing w:after="0" w:line="121"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2025 and 2024, by KPMG LLP, the Company’s independent registered public accounting firm.</w:t>
      </w:r>
    </w:p>
    <w:p>
      <w:pPr>
        <w:spacing w:after="0" w:line="7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87"/>
        </w:trPr>
        <w:tc>
          <w:tcPr>
            <w:tcW w:w="5860" w:type="dxa"/>
            <w:vAlign w:val="bottom"/>
          </w:tcPr>
          <w:p>
            <w:pPr>
              <w:spacing w:after="0"/>
              <w:rPr>
                <w:sz w:val="16"/>
                <w:szCs w:val="16"/>
                <w:color w:val="auto"/>
              </w:rPr>
            </w:pPr>
          </w:p>
        </w:tc>
        <w:tc>
          <w:tcPr>
            <w:tcW w:w="980" w:type="dxa"/>
            <w:vAlign w:val="bottom"/>
            <w:tcBorders>
              <w:bottom w:val="single" w:sz="8" w:color="auto"/>
            </w:tcBorders>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63"/>
        </w:trPr>
        <w:tc>
          <w:tcPr>
            <w:tcW w:w="586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8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$1,615,516</w:t>
            </w:r>
          </w:p>
        </w:tc>
        <w:tc>
          <w:tcPr>
            <w:tcW w:w="20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1,350,000</w:t>
            </w:r>
          </w:p>
        </w:tc>
        <w:tc>
          <w:tcPr>
            <w:tcW w:w="1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1,615,516</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jc w:val="both"/>
        <w:ind w:left="640" w:right="419" w:hanging="348"/>
        <w:spacing w:after="0" w:line="241"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billed for professional services rendered in connection with the audit of our consolidated financial statements, reviews of our quarterly consolidated financial statements and related accounting consultations and services that are normally provided by the independent registered public accountants in connection with statutory and regulatory filings or engagements for those fiscal years.</w:t>
      </w:r>
    </w:p>
    <w:p>
      <w:pPr>
        <w:spacing w:after="0" w:line="73"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All fees described above were pre-approved by the Audit Committee in accordance with the pre-approval policies and procedures set forth below.</w:t>
      </w:r>
    </w:p>
    <w:p>
      <w:pPr>
        <w:spacing w:after="0" w:line="54" w:lineRule="exact"/>
        <w:rPr>
          <w:sz w:val="20"/>
          <w:szCs w:val="20"/>
          <w:color w:val="auto"/>
        </w:rPr>
      </w:pPr>
    </w:p>
    <w:p>
      <w:pPr>
        <w:ind w:left="300" w:right="579"/>
        <w:spacing w:after="0" w:line="289" w:lineRule="auto"/>
        <w:rPr>
          <w:sz w:val="20"/>
          <w:szCs w:val="20"/>
          <w:color w:val="auto"/>
        </w:rPr>
      </w:pPr>
      <w:r>
        <w:rPr>
          <w:rFonts w:ascii="Times New Roman" w:cs="Times New Roman" w:eastAsia="Times New Roman" w:hAnsi="Times New Roman"/>
          <w:sz w:val="17"/>
          <w:szCs w:val="17"/>
          <w:color w:val="auto"/>
        </w:rPr>
        <w:t>In connection with the audit of our consolidated financial statements to be included in our Annual Report on Form 10-K for the fiscal year ending December 31, 2026, the Company will enter into an engagement agreement with KPMG LLP that sets forth the terms by which KPMG LLP will perform audit services for the Company.</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300" w:right="499"/>
        <w:spacing w:after="0" w:line="254" w:lineRule="auto"/>
        <w:rPr>
          <w:sz w:val="20"/>
          <w:szCs w:val="20"/>
          <w:color w:val="auto"/>
        </w:rPr>
      </w:pPr>
      <w:r>
        <w:rPr>
          <w:rFonts w:ascii="Times New Roman" w:cs="Times New Roman" w:eastAsia="Times New Roman" w:hAnsi="Times New Roman"/>
          <w:sz w:val="18"/>
          <w:szCs w:val="18"/>
          <w:color w:val="auto"/>
        </w:rPr>
        <w:t>The Audit Committee has adopted policies and procedures for the pre-approval of audit and non-audit services rendered by the Company’s independent registered public accounting firm, KPMG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84"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KPMG LLP is compatible with maintaining the registered public accounting firm’s independence.</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PROPOSAL 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ON A NON-BINDING ADVISORY BASIS, OF THE COMPENSATION OF OUR NAMED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In accordance with Section 14A(a)(1) of the Exchange Act, we are requesting your approval, on a non-binding advisory basis, of the compensation of our named executive officers (commonly known as a “say-on-pay” proposal). Following the 2022 annual meeting of stockholders, and consistent with the results of our stockholder vote on the frequency of future advisory votes on executive compensation taken at that meeting, the Board determined that the Company would hold advisory say-on-pay votes on an annual basis. Accordingly, we are asking for stockholder approval of the compensation of our named executive officers as disclosed in this proxy statement.</w:t>
      </w:r>
    </w:p>
    <w:p>
      <w:pPr>
        <w:spacing w:after="0" w:line="79" w:lineRule="exact"/>
        <w:rPr>
          <w:sz w:val="20"/>
          <w:szCs w:val="20"/>
          <w:color w:val="auto"/>
        </w:rPr>
      </w:pPr>
    </w:p>
    <w:p>
      <w:pPr>
        <w:ind w:left="300" w:right="339"/>
        <w:spacing w:after="0" w:line="277" w:lineRule="auto"/>
        <w:rPr>
          <w:sz w:val="20"/>
          <w:szCs w:val="20"/>
          <w:color w:val="auto"/>
        </w:rPr>
      </w:pPr>
      <w:r>
        <w:rPr>
          <w:rFonts w:ascii="Times New Roman" w:cs="Times New Roman" w:eastAsia="Times New Roman" w:hAnsi="Times New Roman"/>
          <w:sz w:val="17"/>
          <w:szCs w:val="17"/>
          <w:color w:val="auto"/>
        </w:rPr>
        <w:t>As described in detail in this proxy statement in the section titled “Executive Compensation,” we believe our named executive officers compensation is structured appropriately to support our Company and business objectives, as well as to support our culture. Our Compensation Committee and Board regularly review our named executive officers compensation program to ensure the fulfillment of our compensation philosophy and goals. We encourage our stockholders to review the section titled “Executive Compensation” of this proxy statement for more information.</w:t>
      </w:r>
    </w:p>
    <w:p>
      <w:pPr>
        <w:spacing w:after="0" w:line="60" w:lineRule="exact"/>
        <w:rPr>
          <w:sz w:val="20"/>
          <w:szCs w:val="20"/>
          <w:color w:val="auto"/>
        </w:rPr>
      </w:pPr>
    </w:p>
    <w:p>
      <w:pPr>
        <w:jc w:val="both"/>
        <w:ind w:left="300" w:right="379"/>
        <w:spacing w:after="0" w:line="289" w:lineRule="auto"/>
        <w:rPr>
          <w:sz w:val="20"/>
          <w:szCs w:val="20"/>
          <w:color w:val="auto"/>
        </w:rPr>
      </w:pPr>
      <w:r>
        <w:rPr>
          <w:rFonts w:ascii="Times New Roman" w:cs="Times New Roman" w:eastAsia="Times New Roman" w:hAnsi="Times New Roman"/>
          <w:sz w:val="17"/>
          <w:szCs w:val="17"/>
          <w:color w:val="auto"/>
        </w:rPr>
        <w:t>Although this vote is non-binding, our Compensation Committee and Board value the opinions of our stockholders and will take the outcome of the vote into account when considering future named executive officers compensation arrangements. Accordingly, we ask our stockholders to vote “FOR” the following resolution at the Annual Meeting:</w:t>
      </w:r>
    </w:p>
    <w:p>
      <w:pPr>
        <w:spacing w:after="0" w:line="50" w:lineRule="exact"/>
        <w:rPr>
          <w:sz w:val="20"/>
          <w:szCs w:val="20"/>
          <w:color w:val="auto"/>
        </w:rPr>
      </w:pPr>
    </w:p>
    <w:p>
      <w:pPr>
        <w:ind w:left="660" w:right="339"/>
        <w:spacing w:after="0" w:line="261" w:lineRule="auto"/>
        <w:rPr>
          <w:sz w:val="20"/>
          <w:szCs w:val="20"/>
          <w:color w:val="auto"/>
        </w:rPr>
      </w:pPr>
      <w:r>
        <w:rPr>
          <w:rFonts w:ascii="Times New Roman" w:cs="Times New Roman" w:eastAsia="Times New Roman" w:hAnsi="Times New Roman"/>
          <w:sz w:val="18"/>
          <w:szCs w:val="18"/>
          <w:color w:val="auto"/>
        </w:rPr>
        <w:t>“RESOLVED, that the stockholders of Annexon, Inc. approve, on a non-binding advisory basis, the compensation of Annexon, Inc.’s named executive officers as described in Annexon, Inc.’s Proxy Statement for the 2026 Annual Meeting of Stockholders, including the Summary Compensation Table and related compensation tables and narrative disclosure set forth therein.”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VOTE “FOR” PROPOSAL 3.</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left="300" w:right="359"/>
        <w:spacing w:after="0" w:line="255" w:lineRule="auto"/>
        <w:rPr>
          <w:sz w:val="20"/>
          <w:szCs w:val="20"/>
          <w:color w:val="auto"/>
        </w:rPr>
      </w:pPr>
      <w:r>
        <w:rPr>
          <w:rFonts w:ascii="Times New Roman" w:cs="Times New Roman" w:eastAsia="Times New Roman" w:hAnsi="Times New Roman"/>
          <w:sz w:val="18"/>
          <w:szCs w:val="18"/>
          <w:b w:val="1"/>
          <w:bCs w:val="1"/>
          <w:color w:val="auto"/>
        </w:rPr>
        <w:t>APPROVAL OF AN AMENDMENT TO THE AMENDED AND RESTATED CERTIFICATE OF INCORPORATION TO INCREASE THE NUMBER OF AUTHORIZED SHARES OF COMMON STOCK</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300" w:right="899"/>
        <w:spacing w:after="0" w:line="261" w:lineRule="auto"/>
        <w:rPr>
          <w:sz w:val="20"/>
          <w:szCs w:val="20"/>
          <w:color w:val="auto"/>
        </w:rPr>
      </w:pPr>
      <w:r>
        <w:rPr>
          <w:rFonts w:ascii="Times New Roman" w:cs="Times New Roman" w:eastAsia="Times New Roman" w:hAnsi="Times New Roman"/>
          <w:sz w:val="18"/>
          <w:szCs w:val="18"/>
          <w:color w:val="auto"/>
        </w:rPr>
        <w:t>The Board is requesting stockholder approval of an amendment (the “Authorized Share Amendment”) to our Certificate of Incorporation to increase the number of authorized shares of our common stock from</w:t>
      </w: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300,000,000 shares to 500,000,000 shares. The Certificate of Incorporation was filed with the Delaware Secretary of State on July 28, 2020, and the number of authorized shares of our common stock has not been increased since that time.</w:t>
      </w:r>
    </w:p>
    <w:p>
      <w:pPr>
        <w:spacing w:after="0" w:line="78"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The additional common stock to be authorized by adoption of the Authorized Share Amendment will have rights identical to our currently outstanding common stock. Adoption of the Authorized Share Amendment will not affect the rights of the holders of our currently outstanding common stock, except for effects incidental to increasing the number of shares of common stock available for future issuance, which would result in dilution of the earnings per share and voting rights of current holders of our common stock.</w:t>
      </w: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Authorized Share Amendment would amend the second sentence of Article IV of the Certificate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Incorporation to read as follows (insertions shown by underline and deletions shown by strikethrough):</w:t>
      </w:r>
    </w:p>
    <w:p>
      <w:pPr>
        <w:spacing w:after="0" w:line="99" w:lineRule="exact"/>
        <w:rPr>
          <w:sz w:val="20"/>
          <w:szCs w:val="20"/>
          <w:color w:val="auto"/>
        </w:rPr>
      </w:pPr>
    </w:p>
    <w:p>
      <w:pPr>
        <w:ind w:left="660" w:right="1479"/>
        <w:spacing w:after="0" w:line="312" w:lineRule="auto"/>
        <w:rPr>
          <w:sz w:val="20"/>
          <w:szCs w:val="20"/>
          <w:color w:val="auto"/>
        </w:rPr>
      </w:pPr>
      <w:r>
        <w:rPr>
          <w:rFonts w:ascii="Times New Roman" w:cs="Times New Roman" w:eastAsia="Times New Roman" w:hAnsi="Times New Roman"/>
          <w:sz w:val="17"/>
          <w:szCs w:val="17"/>
          <w:color w:val="auto"/>
        </w:rPr>
        <w:t>“The total number of shares that the Corporation is authorized to issue is 505,000,000, of which 500,000,000 shares shall be Common Stock and 5,000,000 shares shall be Preferred Stock.”</w:t>
      </w:r>
    </w:p>
    <w:p>
      <w:pPr>
        <w:spacing w:after="0" w:line="32"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remainder of Article IV of the Certificate of Incorporation will not be impacted by the Authorized Share Amendment. Stockholders should review the Authorized Share Amendment above, together with the existing Certificate of Incorporation, which is included as an exhibit to our Annual Report on Form 10-K filed with the SEC on March 30, 2026. The text of the proposed Authorized Share Amendment is attached hereto as Appendix A.</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RATIONALE</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As of April 13, 2026, we had 300,000,000 authorized shares of our common stock with 162,507,278 shares of our common stock outstanding. As of April 13, 2026, 25,027,981 shares of common stock were reserved for issuance upon the exercise or settlement of equity awards granted and 9,341,343 shares of common stock remained available for issuance in connection with future awards under our 2020 Incentive Award Plan (the “2020 Plan”), 2020 Employee Stock Purchase Plan (the “ESPP”) and 2022 Employment Inducement Award Plan (the “2022 Inducement Plan”). As of April 13, 2026, there were also 42,643,421 shares of common stock reserved for issuance upon exercise of outstanding pre-funded warrants and common warrants to purchase shares of common stock, 5,726,957 shares of common stock reserved for issuance in connection with that certain sales agreement, dated as of March 26, 2024, by and between the Company and TD Securities (USA) LLC, pursuant to which approximately $33,274,000 remained available for the offer and sale of shares of the Company's common stock from time to time, and 30,000,000 shares of common stock reserved for issuance in connection with that certain sales agreement dated as of March 30, 2026 by and between the Company and TD Securities (USA) LLC, pursuant to which the Company may sell from time to time shares of its common stock having an aggregate offering price of up to $150,000,000. As a result, as of April 13, 2026, we only had authorized 24,753,021 shares of unissued, unreserved common stock available for issuance.</w:t>
      </w:r>
    </w:p>
    <w:p>
      <w:pPr>
        <w:spacing w:after="0" w:line="88"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Board believes that it is in our best interest and the best interest of our stockholders for the Board to have shares of our common stock available for issuance, thereby providing flexibility to use our capital stock for business and financial purposes in the future. Such shares of common stock may be used for various purposes without further stockholder approval. These purposes may include raising capital, providing equity incentives to employees, officers or directors, and establishing strategic relationships with other companies.</w:t>
      </w:r>
    </w:p>
    <w:p>
      <w:pPr>
        <w:spacing w:after="0" w:line="75"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To date, we have funded our operations principally through our operations, the issuance of common stock, warrants and convertible notes, and debt. In the future, we will require additional financing to fund working capital and pay our obligations and we may pursue financing opportunities through the issuance of debt or equity. If the Authorized Share Amendment is not approved by our stockholders, we may not have sufficient unissued and unreserved authorized shares to engage in such transactions.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Further, our success also depends in part on our continued ability to attract, retain, and motivate highly qualified management and key personnel. If this proposal is not approved by our stockholders, the lack of unissued and unreserved authorized shares of common stock available to provide future equity incentive opportunities could adversely impact our ability to achieve these goals.</w:t>
      </w:r>
    </w:p>
    <w:p>
      <w:pPr>
        <w:spacing w:after="0" w:line="7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additional shares of our common stock that would become available for issuance if the Authorized Share Amendment is approved could also be used to oppose a hostile takeover attempt or to delay or prevent changes in our control or in our management. For example, if the Authorized Share Amendment is approved, the Board could strategically sell shares of our common stock in a private transaction to purchasers who would oppose a takeover or favor the current Board. Although the Authorized Share Amendment to increase our authorized common stock has been prompted by business and financial considerations and not by the threat of any hostile takeover attempt (nor is the Board currently aware of any such attempts directed at us), our stockholders should be aware that approval of the Authorized Share Amendment could facilitate future efforts by us to deter or prevent changes in our control, including transactions in which the stockholders might otherwise receive a premium for their shares over then current market prices.</w:t>
      </w:r>
    </w:p>
    <w:p>
      <w:pPr>
        <w:spacing w:after="0" w:line="86"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If the Authorized Share Amendment is approved, no further action by stockholders would be necessary prior to the issuance of additional shares of common stock unless required by applicable law or applicable Nasdaq Listing Rules.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EFFECTIVENESS OF AUTHORIZED SHARE AMENDMENT</w:t>
      </w:r>
    </w:p>
    <w:p>
      <w:pPr>
        <w:spacing w:after="0" w:line="121" w:lineRule="exact"/>
        <w:rPr>
          <w:sz w:val="20"/>
          <w:szCs w:val="20"/>
          <w:color w:val="auto"/>
        </w:rPr>
      </w:pPr>
    </w:p>
    <w:p>
      <w:pPr>
        <w:jc w:val="both"/>
        <w:ind w:left="300" w:right="739"/>
        <w:spacing w:after="0" w:line="266" w:lineRule="auto"/>
        <w:rPr>
          <w:sz w:val="20"/>
          <w:szCs w:val="20"/>
          <w:color w:val="auto"/>
        </w:rPr>
      </w:pPr>
      <w:r>
        <w:rPr>
          <w:rFonts w:ascii="Times New Roman" w:cs="Times New Roman" w:eastAsia="Times New Roman" w:hAnsi="Times New Roman"/>
          <w:sz w:val="18"/>
          <w:szCs w:val="18"/>
          <w:color w:val="auto"/>
        </w:rPr>
        <w:t>If approved by our stockholders, the Authorized Share Amendment will become effective upon filing a revised Certificate of Incorporation reflecting the Authorized Share Amendment with the Delaware Secretary of State, which would be completed promptly after the Annual Meeting.</w:t>
      </w:r>
    </w:p>
    <w:p>
      <w:pPr>
        <w:spacing w:after="0" w:line="68"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If our stockholders do not approve the Authorized Share Amendment, the number of authorized shares of our common stock will remain 300,000,000 shares and a revised Certificate of Incorporation reflecting the Authorized Share Amendment will not be filed with the Delaware Secretary of State.</w:t>
      </w:r>
    </w:p>
    <w:p>
      <w:pPr>
        <w:spacing w:after="0" w:line="68"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The Board retains the discretion to abandon, and not implement, the Authorized Share Amendment at any time before it becomes effective, even if it is approved by our stockholders.</w:t>
      </w:r>
    </w:p>
    <w:p>
      <w:pPr>
        <w:spacing w:after="0" w:line="50" w:lineRule="exact"/>
        <w:rPr>
          <w:sz w:val="20"/>
          <w:szCs w:val="20"/>
          <w:color w:val="auto"/>
        </w:rPr>
      </w:pPr>
    </w:p>
    <w:p>
      <w:pPr>
        <w:jc w:val="both"/>
        <w:ind w:left="300" w:right="319"/>
        <w:spacing w:after="0" w:line="259"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AN AMENDMENT TO THE CERTIFICATE OF INCORPORATION TO INCREASE THE NUMBER OF AUTHORIZED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OF COMMON STOCK.</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March 31, 2026 for:</w:t>
      </w:r>
    </w:p>
    <w:p>
      <w:pPr>
        <w:spacing w:after="0" w:line="54"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 of 5% or more of the outstanding shares of our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and generally means that a person has beneficial ownership of a security if he, she or it possesses sole or shared voting or investment power of that security, including options and warrants that are currently exercisable or exercisable within 60 days of March 31, 2026. Our calculation of the percentage of beneficial ownership is based on 162,501,717 shares of our common stock outstanding as of March 31, 2026. The number of shares of our common stock outstanding as of March 31, 2026 does not include 35,765,799 shares of our common stock issuable upon the exercise of pre-funded warrants outstanding as of March 31, 2026, which are immediately exercisable at an exercise price of $0.001 per share of common stock, subject to beneficial ownership limitations.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Common stock subject to options and warrants currently exercisable or exercisable within 60 days of March 31, 2026 is deemed to be outstanding for computing the percentage ownership of the person holding these options and warrants and the percentage ownership of any group of which the holder is a member but is not deemed outstanding for computing the percentage of any other person. Except as otherwise noted, the information below reflects any beneficial ownership limitations set forth in any warrants held by the persons named below.</w:t>
      </w:r>
    </w:p>
    <w:p>
      <w:pPr>
        <w:spacing w:after="0" w:line="87"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Annexon, Inc., 1400 Sierra Point Parkway, Bldg C, Suite 200, Brisbane, California 94005.</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90"/>
        </w:trPr>
        <w:tc>
          <w:tcPr>
            <w:tcW w:w="6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3"/>
        </w:trPr>
        <w:tc>
          <w:tcPr>
            <w:tcW w:w="6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 Percent Stockholders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50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Redmile Group, LLC</w:t>
            </w:r>
            <w:r>
              <w:rPr>
                <w:rFonts w:ascii="Times New Roman" w:cs="Times New Roman" w:eastAsia="Times New Roman" w:hAnsi="Times New Roman"/>
                <w:sz w:val="29"/>
                <w:szCs w:val="29"/>
                <w:color w:val="auto"/>
                <w:vertAlign w:val="superscript"/>
              </w:rPr>
              <w:t>(1)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16,920,189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83"/>
        </w:trPr>
        <w:tc>
          <w:tcPr>
            <w:tcW w:w="650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Trusts and other entities affiliated with Muneer A. Satter</w:t>
            </w:r>
            <w:r>
              <w:rPr>
                <w:rFonts w:ascii="Times New Roman" w:cs="Times New Roman" w:eastAsia="Times New Roman" w:hAnsi="Times New Roman"/>
                <w:sz w:val="29"/>
                <w:szCs w:val="29"/>
                <w:color w:val="auto"/>
                <w:vertAlign w:val="superscript"/>
              </w:rPr>
              <w:t>(2)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10,444,134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84"/>
        </w:trPr>
        <w:tc>
          <w:tcPr>
            <w:tcW w:w="650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9"/>
                <w:szCs w:val="29"/>
                <w:color w:val="auto"/>
                <w:vertAlign w:val="superscript"/>
              </w:rPr>
              <w:t>(3)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10,222,470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83"/>
        </w:trPr>
        <w:tc>
          <w:tcPr>
            <w:tcW w:w="650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BVF Partners L.P.</w:t>
            </w:r>
            <w:r>
              <w:rPr>
                <w:rFonts w:ascii="Times New Roman" w:cs="Times New Roman" w:eastAsia="Times New Roman" w:hAnsi="Times New Roman"/>
                <w:sz w:val="29"/>
                <w:szCs w:val="29"/>
                <w:color w:val="auto"/>
                <w:vertAlign w:val="superscript"/>
              </w:rPr>
              <w:t>(4)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9,027,778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83"/>
        </w:trPr>
        <w:tc>
          <w:tcPr>
            <w:tcW w:w="650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8,868,755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4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50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Muneer A. Satter</w:t>
            </w:r>
            <w:r>
              <w:rPr>
                <w:rFonts w:ascii="Times New Roman" w:cs="Times New Roman" w:eastAsia="Times New Roman" w:hAnsi="Times New Roman"/>
                <w:sz w:val="29"/>
                <w:szCs w:val="29"/>
                <w:color w:val="auto"/>
                <w:vertAlign w:val="superscript"/>
              </w:rPr>
              <w:t>(6)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9,830,637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83"/>
        </w:trPr>
        <w:tc>
          <w:tcPr>
            <w:tcW w:w="650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Douglas E. Love</w:t>
            </w:r>
            <w:r>
              <w:rPr>
                <w:rFonts w:ascii="Times New Roman" w:cs="Times New Roman" w:eastAsia="Times New Roman" w:hAnsi="Times New Roman"/>
                <w:sz w:val="29"/>
                <w:szCs w:val="29"/>
                <w:color w:val="auto"/>
                <w:vertAlign w:val="superscript"/>
              </w:rPr>
              <w:t>(7)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3,387,077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83"/>
        </w:trPr>
        <w:tc>
          <w:tcPr>
            <w:tcW w:w="650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Ted Yednock, Ph.D.</w:t>
            </w:r>
            <w:r>
              <w:rPr>
                <w:rFonts w:ascii="Times New Roman" w:cs="Times New Roman" w:eastAsia="Times New Roman" w:hAnsi="Times New Roman"/>
                <w:sz w:val="29"/>
                <w:szCs w:val="29"/>
                <w:color w:val="auto"/>
                <w:vertAlign w:val="superscript"/>
              </w:rPr>
              <w:t>(8)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883,639</w:t>
            </w: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50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 xml:space="preserve">Jennifer Lew </w:t>
            </w:r>
            <w:r>
              <w:rPr>
                <w:rFonts w:ascii="Times New Roman" w:cs="Times New Roman" w:eastAsia="Times New Roman" w:hAnsi="Times New Roman"/>
                <w:sz w:val="29"/>
                <w:szCs w:val="29"/>
                <w:color w:val="auto"/>
                <w:vertAlign w:val="superscript"/>
              </w:rPr>
              <w:t>(9)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863,461</w:t>
            </w:r>
          </w:p>
        </w:tc>
        <w:tc>
          <w:tcPr>
            <w:tcW w:w="9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0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William H. Carson, M.D.</w:t>
            </w:r>
            <w:r>
              <w:rPr>
                <w:rFonts w:ascii="Times New Roman" w:cs="Times New Roman" w:eastAsia="Times New Roman" w:hAnsi="Times New Roman"/>
                <w:sz w:val="29"/>
                <w:szCs w:val="29"/>
                <w:color w:val="auto"/>
                <w:vertAlign w:val="superscript"/>
              </w:rPr>
              <w:t>(10)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184,405</w:t>
            </w: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0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Jung E. Choi</w:t>
            </w:r>
            <w:r>
              <w:rPr>
                <w:rFonts w:ascii="Times New Roman" w:cs="Times New Roman" w:eastAsia="Times New Roman" w:hAnsi="Times New Roman"/>
                <w:sz w:val="29"/>
                <w:szCs w:val="29"/>
                <w:color w:val="auto"/>
                <w:vertAlign w:val="superscript"/>
              </w:rPr>
              <w:t>(11)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171,322</w:t>
            </w:r>
          </w:p>
        </w:tc>
        <w:tc>
          <w:tcPr>
            <w:tcW w:w="9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50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Thomas G. Wiggans</w:t>
            </w:r>
            <w:r>
              <w:rPr>
                <w:rFonts w:ascii="Times New Roman" w:cs="Times New Roman" w:eastAsia="Times New Roman" w:hAnsi="Times New Roman"/>
                <w:sz w:val="29"/>
                <w:szCs w:val="29"/>
                <w:color w:val="auto"/>
                <w:vertAlign w:val="superscript"/>
              </w:rPr>
              <w:t>(12)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133,745</w:t>
            </w: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0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Bettina M. Cockroft, M.D.</w:t>
            </w:r>
            <w:r>
              <w:rPr>
                <w:rFonts w:ascii="Times New Roman" w:cs="Times New Roman" w:eastAsia="Times New Roman" w:hAnsi="Times New Roman"/>
                <w:sz w:val="29"/>
                <w:szCs w:val="29"/>
                <w:color w:val="auto"/>
                <w:vertAlign w:val="superscript"/>
              </w:rPr>
              <w:t>(13)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9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50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William D. Waddill</w:t>
            </w:r>
            <w:r>
              <w:rPr>
                <w:rFonts w:ascii="Times New Roman" w:cs="Times New Roman" w:eastAsia="Times New Roman" w:hAnsi="Times New Roman"/>
                <w:sz w:val="29"/>
                <w:szCs w:val="29"/>
                <w:color w:val="auto"/>
                <w:vertAlign w:val="superscript"/>
              </w:rPr>
              <w:t>(14)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50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William (BJ) Jones, Jr.</w:t>
            </w:r>
            <w:r>
              <w:rPr>
                <w:rFonts w:ascii="Times New Roman" w:cs="Times New Roman" w:eastAsia="Times New Roman" w:hAnsi="Times New Roman"/>
                <w:sz w:val="29"/>
                <w:szCs w:val="29"/>
                <w:color w:val="auto"/>
                <w:vertAlign w:val="superscript"/>
              </w:rPr>
              <w:t>(15)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39,111</w:t>
            </w:r>
          </w:p>
        </w:tc>
        <w:tc>
          <w:tcPr>
            <w:tcW w:w="9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8"/>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current executive officers and directors as a group (13 persons)</w:t>
            </w:r>
            <w:r>
              <w:rPr>
                <w:rFonts w:ascii="Times New Roman" w:cs="Times New Roman" w:eastAsia="Times New Roman" w:hAnsi="Times New Roman"/>
                <w:sz w:val="29"/>
                <w:szCs w:val="29"/>
                <w:b w:val="1"/>
                <w:bCs w:val="1"/>
                <w:color w:val="auto"/>
                <w:vertAlign w:val="superscript"/>
              </w:rPr>
              <w:t>(16)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17,469,840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90170</wp:posOffset>
            </wp:positionV>
            <wp:extent cx="822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7" w:lineRule="exact"/>
        <w:rPr>
          <w:sz w:val="20"/>
          <w:szCs w:val="20"/>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42" w:lineRule="exact"/>
        <w:rPr>
          <w:sz w:val="20"/>
          <w:szCs w:val="20"/>
          <w:color w:val="auto"/>
        </w:rPr>
      </w:pPr>
    </w:p>
    <w:p>
      <w:pPr>
        <w:ind w:left="640" w:right="55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upon a Schedule 13G/A filed with the SEC on February 17, 2026 and information known to us. As of December 31, 2025, consists of (i) 10,050,644 shares of common stock held by certain private investment vehicles managed by Redmile Group, LLC (the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60" w:right="339"/>
        <w:spacing w:after="0" w:line="238" w:lineRule="auto"/>
        <w:rPr>
          <w:sz w:val="20"/>
          <w:szCs w:val="20"/>
          <w:color w:val="auto"/>
        </w:rPr>
      </w:pPr>
      <w:r>
        <w:rPr>
          <w:rFonts w:ascii="Times New Roman" w:cs="Times New Roman" w:eastAsia="Times New Roman" w:hAnsi="Times New Roman"/>
          <w:sz w:val="14"/>
          <w:szCs w:val="14"/>
          <w:color w:val="auto"/>
        </w:rPr>
        <w:t>“Redmile Clients”), including Redmile Biopharma Investments II, L.P. (“RBI II”). Subject to the Beneficial Ownership Blocker (as defined below), Redmile Group, LLC may also be deemed to beneficially own 45,109,195 shares of Common Stock issuable upon exercise of certain pre-funded warrants to purchase Common Stock (the “Warrants”). Pursuant to the terms of the Warrants, we may not effect any exercise of the Warrant, and a holder of a Warrant does not have the right to exercise the Warrant held by such holder, to the extent that after giving effect to such issuance after exercise, the holder (together with the holder’s affiliates, and any other persons acting as a group together with the holder or any of the holder’s affiliates), would beneficially own in excess of 9.99% (the “Beneficial Ownership Limitation”) of the number of shares of Common Stock outstanding immediately after giving effect to the issuance of shares of Common Stock issued upon exercise of the Warrant (the “Beneficial Ownership Blocker”). The Beneficial Ownership Limitation may be changed at a holder’s election upon 61 days’ notice to us. The 15,427,866 shares of Common Stock reported herein as beneficially owned by Redmile Group, LLC represent 9.99% of the outstanding shares of Common Stock (calculated in accordance with the footnote below), which includes 5,377,222 shares of Common Stock that could be issued upon exercise of certain of the Warrants under the Beneficial Ownership Blocker. The reported securities may be deemed beneficially owned by Redmile Group, LLC as investment manager of the Redmile Clients. The reported securities may also be deemed beneficially owned by Jeremy C. Green as the principal of Redmile Group, LLC. Redmile Group, LLC and Mr. Green each disclaim beneficial ownership of these shares, except to the extent of its or his pecuniary interest in such shares, if any. The address for Redmile Group, LLC is One Letterman Drive, Building D, Suite D3-300, The Presidio of San Francisco, San Francisco, California 94129. The address for Mr. Green is c/o Redmile Group, LLC (NY Office) 45 W. 27th Street, Floor 11 New York, NY 10001.</w:t>
      </w:r>
    </w:p>
    <w:p>
      <w:pPr>
        <w:spacing w:after="0" w:line="24" w:lineRule="exact"/>
        <w:rPr>
          <w:sz w:val="20"/>
          <w:szCs w:val="20"/>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upon a Schedule 13D/A filed with the SEC on November 19, 2025 and information known to us. Consists of</w:t>
      </w:r>
    </w:p>
    <w:p>
      <w:pPr>
        <w:spacing w:after="0" w:line="3" w:lineRule="exact"/>
        <w:rPr>
          <w:rFonts w:ascii="Times New Roman" w:cs="Times New Roman" w:eastAsia="Times New Roman" w:hAnsi="Times New Roman"/>
          <w:sz w:val="14"/>
          <w:szCs w:val="14"/>
          <w:color w:val="auto"/>
        </w:rPr>
      </w:pPr>
    </w:p>
    <w:p>
      <w:pPr>
        <w:ind w:left="640" w:right="319" w:firstLine="3"/>
        <w:spacing w:after="0" w:line="223" w:lineRule="auto"/>
        <w:tabs>
          <w:tab w:leader="none" w:pos="812"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240,000 shares that are held by the Muneer A. Satter Revocable Trust for which the reporting person serves as trustee and, in such capacity, has sole voting and dispositive power over all such shares, (ii) 567,240 shares that are held by various other trusts and other entities for which the reporting person serves as trustee, investment advisor or manager and, in such capacity, has sole voting and dispositive power over all such shares, (iii) 1,147,738 shares of common stock and warrants to purchase 613,497 shares of common stock that are held by Satter Medical Technology Partners, L.P. for which the reporting person has sole voting and dispositive power over all such shares, (iv) 7,773,659 shares of common stock that are held by Alerce Medical Technology Partners, L.P. for which the reporting person has sole voting and dispositive power of all such shares, and (v) 102,000 shares of common stock that may be acquired pursuant to the exercise of stock options held by Mr. Satter within 60 days of March 31, 2026. Pursuant to the terms of the common warrants, Alerce Medical may not exercise any portion of any common warrant, which, upon giving effect to such exercise, would cause it (together with its affiliates) to own more than 19.99% of the number of shares of the common stock outstanding immediately after giving effect to such exercise, as such percentage ownership is determined in accordance with the terms of the common warrants. However, Alerce Medical may decrease such percentage to any other percentage (or subsequently increase to any other percentage not in excess of 19.99%, provided that any increase in such percentage shall not be effective until 61 days after such notice is delivered to us). The address of Mr. Satter and the entities affiliated with Mr. Satter is c/o Alerce Investment Management, L.P, 676 North Michigan Avenue, Suite 4000, Chicago, Illinois 60611.</w:t>
      </w:r>
    </w:p>
    <w:p>
      <w:pPr>
        <w:spacing w:after="0" w:line="22" w:lineRule="exact"/>
        <w:rPr>
          <w:rFonts w:ascii="Times New Roman" w:cs="Times New Roman" w:eastAsia="Times New Roman" w:hAnsi="Times New Roman"/>
          <w:sz w:val="14"/>
          <w:szCs w:val="14"/>
          <w:color w:val="auto"/>
        </w:rPr>
      </w:pPr>
    </w:p>
    <w:p>
      <w:pPr>
        <w:ind w:left="640" w:right="339" w:hanging="348"/>
        <w:spacing w:after="0" w:line="227"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upon a Schedule 13G/A filed with the SEC on February 5, 2026 and information known to us. FMR LLC beneficially owns 10,222,470 shares of our common stock as of December 31, 2025.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business address for FMR LLC is 245 Summer Street, Boston, Massachusetts 02110</w:t>
      </w:r>
    </w:p>
    <w:p>
      <w:pPr>
        <w:spacing w:after="0" w:line="20" w:lineRule="exact"/>
        <w:rPr>
          <w:rFonts w:ascii="Times New Roman" w:cs="Times New Roman" w:eastAsia="Times New Roman" w:hAnsi="Times New Roman"/>
          <w:sz w:val="14"/>
          <w:szCs w:val="14"/>
          <w:color w:val="auto"/>
        </w:rPr>
      </w:pPr>
    </w:p>
    <w:p>
      <w:pPr>
        <w:ind w:left="640" w:right="319" w:hanging="348"/>
        <w:spacing w:after="0" w:line="226"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upon a Schedule 13G/A filed with the SEC on November 14, 2024. As of September 30, 2024, consists of (i) 3,693,327 shares of common stock and pre-funded warrants to purchase 1,064,170 shares of common stock beneficially owned by Biotechnology Value Fund, L.P. (“BVF”), (ii) 2,893,515 shares of common stock and pre-funded warrants to purchase 829,606 shares of common stock beneficially owned by Biotechnology Value Fund II, L.P. (“BVF2”), (iii) 288,034 shares of common stock and pre-funded warrants to purchase 104,244 shares of common stock beneficially owned by Biotechnology Value Trading Fund OS LP (“Trading Fund OS”),</w:t>
      </w:r>
    </w:p>
    <w:p>
      <w:pPr>
        <w:ind w:left="640" w:right="319" w:firstLine="3"/>
        <w:spacing w:after="0" w:line="232" w:lineRule="auto"/>
        <w:tabs>
          <w:tab w:leader="none" w:pos="884"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125,124 shares held in a certain BVF Partners L.P. (“Partners”) managed account (the “Partners Managed Account”), and (v) pre-funded warrants to purchase 29,758 shares of common stock beneficially owned by MSI BVF SPV, LLC (“MSI BVF”) as of December 31, 2023. BVF I GP LLC (“BVF GP”), as the general partner of BVF, may be deemed to beneficially own the shares beneficially owned by BVF. BVF II GP LLC (“BVF2 GP”), as the general partner of BVF2, may be deemed to beneficially own the shares beneficially owned by BVF2. BVF Partners OS Ltd. (“Partners OS”), as the general partner of Trading Fund OS, may be deemed to beneficially own the shares beneficially owned by Trading Fund OS. BVF GP Holdings LLC (“BVF GPH” and, together with BVF, BVF2, Trading Fund OS, Partners, MSI BVF, BVF GP, BVF2 GP and Partners OS, the “BVF Entities”), as the sole member of each of BVF GP and BVF2 GP, may be deemed to beneficially own the shares beneficially owned in the aggregate by BVF and BVF2. Partners, as the investment manager of BVF, BVF2, Trading Fund OS, and MSI BVF and the sole member of Partners OS, may be deemed to beneficially own the shares beneficially owned in the aggregate by BVF, BVF2, Trading Fund OS and MSI BVF. Including shares held in the Partners Managed Account. BVF Inc., as the general partner of Partners, may be deemed to beneficially own the shares beneficially owned by Partners. Mark N. Lampert, as a director and officer of BVF Inc., may be deemed to beneficially own the shares beneficially owned by BVF Inc.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Pursuant to the terms of the common warrants and the pre-funded warrants, a holder of a warrant does not have the right to exercise any portion of the warrant that would result in the holder, together with its affiliates, beneficially owning a number of shares of common stock in excess of the 9.99% (the “Blocker”) of the shares of common stock then issued and outstanding following the exercise of the warrants, which percentage may be changed at a holder’s election upon 61 days’ notice to us. Accordingly, pursuant to Rule 13d-3 under the Exchange Act, the 9,027,788 shares of common stock reported as beneficially owned by BVF Entities in the table above consists of (i) an aggregate of 7,000,000 shares of common stock and (ii) an aggregate of 2,027,778 shares of common stock issuable upon the exercise of the common warrants and pre-funded warrants, which together represent 9.99% of our common stock outstanding as of March 31, 2025 assuming the exercise of such warrants. The address for BVF, BVF GP, BVF2, BVF2 GP, BVF GPH, MSI BVF, Partners, BVF Inc. and Mr. Lampert is 44 Montgomery Street, 40th Floor, San Francisco, California 9410.</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upon a Schedule 13G/A filed with the SEC on January 21, 2026. As of December 31, 2025, BlackRock, Inc. beneficially owns 8,773,698 shares of our common stock. The address for BlackRock, Inc. is 50 Hudson Yards New York, NY 10001.</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securities described in footnote (2) above.</w:t>
      </w:r>
    </w:p>
    <w:p>
      <w:pPr>
        <w:spacing w:after="0" w:line="41" w:lineRule="exact"/>
        <w:rPr>
          <w:rFonts w:ascii="Times New Roman" w:cs="Times New Roman" w:eastAsia="Times New Roman" w:hAnsi="Times New Roman"/>
          <w:sz w:val="14"/>
          <w:szCs w:val="14"/>
          <w:color w:val="auto"/>
        </w:rPr>
      </w:pPr>
    </w:p>
    <w:p>
      <w:pPr>
        <w:ind w:left="640" w:right="81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356,133 shares of common stock held of record by Mr. Love and (ii) 3,030,944 shares of common stock that may be acquired pursuant to the exercise of stock options held by Mr. Love within 60 days of March 31, 2026.</w:t>
      </w:r>
    </w:p>
    <w:p>
      <w:pPr>
        <w:ind w:left="640" w:right="81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48,685 shares of common stock held of record by Dr. Yednock and (ii) 834,954 shares of common stock that may be acquired pursuant to the exercise of stock options held by Dr. Yednock within 60 days of March 31, 2026.</w:t>
      </w:r>
    </w:p>
    <w:p>
      <w:pPr>
        <w:ind w:left="640" w:right="49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65,224 shares of common stock held of record by Ms. Lew and (ii) 755,304 shares of common stock that may be acquired pursuant to the exercise of stock options held by Ms. Lew within 60 days of March 31, 2026.</w:t>
      </w:r>
    </w:p>
    <w:p>
      <w:pPr>
        <w:ind w:left="640" w:right="39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62,405 shares of common stock held of record by Dr. Carson and (ii) 122,000 shares of common stock that may be acquired pursuant to the exercise of stock options held by Dr. Carson within 60 days of March 31, 2026.</w:t>
      </w:r>
    </w:p>
    <w:p>
      <w:pPr>
        <w:ind w:left="640" w:right="359" w:hanging="348"/>
        <w:spacing w:after="0" w:line="24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33,000 shares of common stock held of record by The Park Family Revocable Trust for which the reporting person serves as co-trustee and, in such capacity, has sole voting and dispositive power over all such shares and (ii) 138,322 shares of common stock that may be acquired pursuant to the exercise of stock options held by Ms. Choi within 60 days of March 31, 2026.</w:t>
      </w:r>
    </w:p>
    <w:p>
      <w:pPr>
        <w:spacing w:after="0" w:line="14" w:lineRule="exact"/>
        <w:rPr>
          <w:rFonts w:ascii="Times New Roman" w:cs="Times New Roman" w:eastAsia="Times New Roman" w:hAnsi="Times New Roman"/>
          <w:sz w:val="14"/>
          <w:szCs w:val="14"/>
          <w:color w:val="auto"/>
        </w:rPr>
      </w:pPr>
    </w:p>
    <w:p>
      <w:pPr>
        <w:ind w:left="640" w:right="55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133,745 shares of common stock that may be acquired pursuant to the exercise of stock options held by Mr. Wiggans within 60 days of March 31, 2026.</w:t>
      </w:r>
    </w:p>
    <w:p>
      <w:pPr>
        <w:ind w:left="640" w:right="57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112,000 shares of common stock that may be acquired pursuant to the exercise of stock options held by Dr. Cockroft within 60 days of March 31, 2026.</w:t>
      </w:r>
    </w:p>
    <w:p>
      <w:pPr>
        <w:ind w:left="640" w:right="61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112,000 shares of common stock that may be acquired pursuant to the exercise of stock options held by Mr. Waddill within 60 days of March 31, 2026.</w:t>
      </w:r>
    </w:p>
    <w:p>
      <w:pPr>
        <w:ind w:left="640" w:right="33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39,111 shares of common stock that may be acquired pursuant to the exercise of stock options held by Mr. Jones within 60 days of March 31, 2026.</w:t>
      </w: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10,470,206 shares of common stock beneficially owned by our current executive officers and directors and</w:t>
      </w:r>
    </w:p>
    <w:p>
      <w:pPr>
        <w:spacing w:after="0" w:line="3" w:lineRule="exact"/>
        <w:rPr>
          <w:rFonts w:ascii="Times New Roman" w:cs="Times New Roman" w:eastAsia="Times New Roman" w:hAnsi="Times New Roman"/>
          <w:sz w:val="14"/>
          <w:szCs w:val="14"/>
          <w:color w:val="auto"/>
        </w:rPr>
      </w:pPr>
    </w:p>
    <w:p>
      <w:pPr>
        <w:ind w:left="640" w:right="37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 6,999,634 shares of common stock that may be acquired pursuant to the exercise of stock options held by our current executive officers and directors within 60 days of March 31, 2026.</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as of April 13, 2026.</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432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1"/>
                <w:szCs w:val="21"/>
                <w:color w:val="auto"/>
              </w:rPr>
            </w:pP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Douglas Love, Esq.</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Class III Director</w:t>
            </w:r>
          </w:p>
        </w:tc>
      </w:tr>
      <w:tr>
        <w:trPr>
          <w:trHeight w:val="24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Rick Artis, Ph.D.</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EVP &amp; Chief Scientific Officer</w:t>
            </w: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Ted Yednock, Ph.D.</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EVP &amp; Chief Innovation Officer</w:t>
            </w:r>
          </w:p>
        </w:tc>
      </w:tr>
      <w:tr>
        <w:trPr>
          <w:trHeight w:val="24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Lew</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EVP &amp; Chief Financial Officer</w:t>
            </w: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Michael Overdorf, M.B.A.</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EVP &amp; Chief Business Officer</w:t>
            </w:r>
          </w:p>
        </w:tc>
      </w:tr>
      <w:tr>
        <w:trPr>
          <w:trHeight w:val="23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Jamie Dananberg, M.D.</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shd w:val="clear" w:color="auto" w:fill="CCEEFF"/>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EVP &amp; Chief Medical Officer</w:t>
            </w:r>
          </w:p>
        </w:tc>
      </w:tr>
      <w:tr>
        <w:trPr>
          <w:trHeight w:val="54"/>
        </w:trPr>
        <w:tc>
          <w:tcPr>
            <w:tcW w:w="3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320" w:type="dxa"/>
            <w:vAlign w:val="bottom"/>
            <w:shd w:val="clear" w:color="auto" w:fill="CCEEFF"/>
          </w:tcPr>
          <w:p>
            <w:pPr>
              <w:spacing w:after="0"/>
              <w:rPr>
                <w:sz w:val="4"/>
                <w:szCs w:val="4"/>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Douglas Love, Esq. </w:t>
      </w:r>
      <w:r>
        <w:rPr>
          <w:rFonts w:ascii="Times New Roman" w:cs="Times New Roman" w:eastAsia="Times New Roman" w:hAnsi="Times New Roman"/>
          <w:sz w:val="18"/>
          <w:szCs w:val="18"/>
          <w:color w:val="auto"/>
        </w:rPr>
        <w:t>See “Proposal 1, Election of Directors” for Mr. Love’s biographical information.</w:t>
      </w:r>
    </w:p>
    <w:p>
      <w:pPr>
        <w:spacing w:after="0" w:line="117"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Rick Artis, Ph.D. </w:t>
      </w:r>
      <w:r>
        <w:rPr>
          <w:rFonts w:ascii="Times New Roman" w:cs="Times New Roman" w:eastAsia="Times New Roman" w:hAnsi="Times New Roman"/>
          <w:sz w:val="18"/>
          <w:szCs w:val="18"/>
          <w:color w:val="auto"/>
        </w:rPr>
        <w:t>has served as our Executive Vice President and Chief Scientific Officer since January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Artis most recently served as Chief Scientific Officer at Octant, Inc. from December 2021 to January 2023, a privately-held data-driven therapeutics company. Prior to that, Mr. Artis served as our Senior Vice President, Chemistry from October 2016 to December 2021, where he led the efforts on small molecule classical complement inhibitors that resulted in the nomination of ANX1502 as a development candidate. Prior to that, Dr. Artis served as Senior Vice President, Research at Elan Pharmaceuticals, a biopharmaceutical company, Vice President, Lead Generation at Plexxikon Inc., a privately-held biotechnology company, and held positions of increasing responsibility at Genentech, Inc. and Syntex Corporation. He has co-authored over 45 papers, been recognized as a co-inventor on 45 issued U.S. patents and made direct contributions to seven molecules that have reached various stages of clinical development, including two that have received marketing approval. He received a B.S. in chemistry from the University of California, Berkeley, and a Ph.D. in organic chemistry from Yale University.</w:t>
      </w:r>
    </w:p>
    <w:p>
      <w:pPr>
        <w:spacing w:after="0" w:line="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Ted Yednock, Ph.D. </w:t>
      </w:r>
      <w:r>
        <w:rPr>
          <w:rFonts w:ascii="Times New Roman" w:cs="Times New Roman" w:eastAsia="Times New Roman" w:hAnsi="Times New Roman"/>
          <w:sz w:val="18"/>
          <w:szCs w:val="18"/>
          <w:color w:val="auto"/>
        </w:rPr>
        <w:t>served as our Executive Vice President and Chief Scientific Officer from 2013 until</w:t>
      </w:r>
    </w:p>
    <w:p>
      <w:pPr>
        <w:spacing w:after="0" w:line="31" w:lineRule="exact"/>
        <w:rPr>
          <w:sz w:val="20"/>
          <w:szCs w:val="20"/>
          <w:color w:val="auto"/>
        </w:rPr>
      </w:pPr>
    </w:p>
    <w:p>
      <w:pPr>
        <w:ind w:left="300" w:right="379"/>
        <w:spacing w:after="0" w:line="251" w:lineRule="auto"/>
        <w:rPr>
          <w:sz w:val="20"/>
          <w:szCs w:val="20"/>
          <w:color w:val="auto"/>
        </w:rPr>
      </w:pPr>
      <w:r>
        <w:rPr>
          <w:rFonts w:ascii="Times New Roman" w:cs="Times New Roman" w:eastAsia="Times New Roman" w:hAnsi="Times New Roman"/>
          <w:sz w:val="18"/>
          <w:szCs w:val="18"/>
          <w:color w:val="auto"/>
        </w:rPr>
        <w:t>October 2021 when he became our Chief Innovation Officer and as the chair of our Scientific Advisory Board since November 2023. Prior to joining us, Dr. Yednock was Chief Scientific Officer for Prothena Corporation plc, a publicly-held biotechnology company spun out from Elan and served in several roles of increasing responsibility from 1996 to 2013 at Elan, a biopharmaceutical company, including Head of Global Research from 2007 to 2013. From 1990 to 1996, Dr. Yednock was a scientist at Athena Neurosciences, Inc., a privately-held pharmaceutical company. While at Athena, he was the scientific inventor of Tysabri®, a monoclonal antibody for the treatment of multiple sclerosis. In addition to his work in multiple sclerosis, Dr. Yednock has contributed to the invention or progression of numerous drugs in the areas of Alzheimer’s disease, Parkinson’s disease, amyloidosis, rheumatoid arthritis, psoriasis and Crohn’s disease. Dr. Yednock received a B.S. in Biology and Chemistry from the University of Illinois and a Ph.D. in Anatomy and Cell Biology from the University of California, San Francisco.</w:t>
      </w:r>
    </w:p>
    <w:p>
      <w:pPr>
        <w:spacing w:after="0" w:line="8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Lew </w:t>
      </w:r>
      <w:r>
        <w:rPr>
          <w:rFonts w:ascii="Times New Roman" w:cs="Times New Roman" w:eastAsia="Times New Roman" w:hAnsi="Times New Roman"/>
          <w:sz w:val="18"/>
          <w:szCs w:val="18"/>
          <w:color w:val="auto"/>
        </w:rPr>
        <w:t>has served as our Executive Vice President and Chief Financial Officer since June 2019. She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in various leadership roles at Aduro Biotech, Inc., a publicly-held biotechnology company, from October 2013 to May 2019, including as Chief Financial Officer from January 2018 to May 2019. Prior to that, Ms. Lew served as Vice President of Finance and Principal Accounting Officer at Dynavax Technologies Corporation, a publicly-held biopharmaceutical company, and held various roles overseeing accounting and finance operations from 2004 to October 2013. Prior to Dynavax, Ms. Lew held positions as Assistant Controller and Director of Finance at QRS Corporation, a publicly-held technology company, from 2000 to 2004. Ms. Lew was a member of the audit practice at Ernst &amp; Young LLP from 1994 to 1999. Ms. Lew has served as a member of the board of directors of Boundless Bio, Inc. since January 2022. She received a B.A. in Economics/Accounting and Government from Claremont McKenna College and is a Certified Public Accountant (inactive).</w:t>
      </w:r>
    </w:p>
    <w:p>
      <w:pPr>
        <w:spacing w:after="0" w:line="77" w:lineRule="exact"/>
        <w:rPr>
          <w:sz w:val="20"/>
          <w:szCs w:val="20"/>
          <w:color w:val="auto"/>
        </w:rPr>
      </w:pPr>
    </w:p>
    <w:p>
      <w:pPr>
        <w:ind w:left="300" w:right="4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Overdorf </w:t>
      </w:r>
      <w:r>
        <w:rPr>
          <w:rFonts w:ascii="Times New Roman" w:cs="Times New Roman" w:eastAsia="Times New Roman" w:hAnsi="Times New Roman"/>
          <w:sz w:val="17"/>
          <w:szCs w:val="17"/>
          <w:color w:val="auto"/>
        </w:rPr>
        <w:t>has served as our Executive Vice President and Chief Business Officer since July 2020. Prior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joining Annexon, from 2001 to July 2020, Mr. Overdorf held various executive leadership roles at Eli Lilly &amp; Company, a publicly-held pharmaceutical company, most recently in Corporate Business Development and Corporate Strategy where he led teams focused on accessing innovative medicines and led the development and execution of the company’s global strategy. Mr. Overdorf also served as a Global Biologics Platform Team Leader, leading two Phase 3 clinical development teams working on biologic molecules targeting autoimmune diseases and as the Chief Operating Officer of the Bio-Medicines Business Unit of Eli Lilly. Mr. Overdorf also held multiple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commercial leadership roles at Eli Lilly, including Chief Marketing Officer of the United Kingdom and General Manager of the Czech &amp; Slovak Republics. Mr. Overdorf is an adjunct lecturer in Medicine in the Division of Clinical Pharmacology at the Indiana University School of Medicine. Mr. Overdorf received a B.A. in Economics from Wabash College and an M.B.A. from Harvard Business School.</w:t>
      </w:r>
    </w:p>
    <w:p>
      <w:pPr>
        <w:spacing w:after="0" w:line="68"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Jamie Dananberg, M.D. </w:t>
      </w:r>
      <w:r>
        <w:rPr>
          <w:rFonts w:ascii="Times New Roman" w:cs="Times New Roman" w:eastAsia="Times New Roman" w:hAnsi="Times New Roman"/>
          <w:sz w:val="18"/>
          <w:szCs w:val="18"/>
          <w:color w:val="auto"/>
        </w:rPr>
        <w:t>has served as our Executive Vice President and Chief Medical Officer since July 2023.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Chief Medical Officer at UNITY Biotechnology, Inc., from January 2016 to April 2023, where he helped build the medical and broader development organization. Prior to UNITY, he served as Executive Vice President at Takeda Pharmaceutical Company Limited, and before that, spent 16 years at Eli Lilly bringing more than 100 programs from discovery to development, leading and supporting efforts through all phases, including the launches of multiple commercial products. Dr. Dananberg started his career practicing medicine in endocrinology and metabolism and ran a basic science laboratory at the University of Michigan. He received his B.S. and M.D. degrees from Tufts University.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that our executive officers, directors and 10% stockholders file reports of ownership and changes of ownership with the SEC. Such directors, executive officers and 10% stockholders are required by SEC regulation to furnish us with copies of all Section 16(a) forms they file.</w:t>
      </w:r>
    </w:p>
    <w:p>
      <w:pPr>
        <w:spacing w:after="0" w:line="68"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SEC regulations require us to identify in this proxy statement anyone who filed a required report late during the most recent fiscal year. Based solely on our review of forms we received and written representations of our executive officers, directors and 10% stockholders, we believe that during our fiscal year ended December 31, 2025, all Section 16(a) filing requirements were satisfied on a timely basis.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“2025 Summary Compensation Table” below.</w:t>
      </w:r>
    </w:p>
    <w:p>
      <w:pPr>
        <w:spacing w:after="0" w:line="54"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The Company is currently a smaller reporting company and therefore remains eligible to take advantage of smaller reporting company reporting requirements, including the reduced disclosure obligations regarding executive compensation, with respect to this proxy statement. The Company has elected to take advantage of the reduced compensation disclosure obligations available to smaller reporting companies in this proxy statement.</w:t>
      </w:r>
    </w:p>
    <w:p>
      <w:pPr>
        <w:spacing w:after="0" w:line="72"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In connection with last year’s annual meeting, we conducted an advisory vote with respect to our executive compensation program, commonly referred to as a “say-on-pay” vote. Of the votes cast, over 95% were in favor of the say-on-pay proposal. We viewed that result as indicating that stockholders are generally in favor of our executive compensation program, and as such we did not make significant changes in our approach with respect to 2025 executive compensation. We value the views of our stockholders and will continue to monitor the results of future say-on-pay votes, which we hold on an annual basis.</w:t>
      </w:r>
    </w:p>
    <w:p>
      <w:pPr>
        <w:spacing w:after="0" w:line="79" w:lineRule="exact"/>
        <w:rPr>
          <w:sz w:val="20"/>
          <w:szCs w:val="20"/>
          <w:color w:val="auto"/>
        </w:rPr>
      </w:pPr>
    </w:p>
    <w:p>
      <w:pPr>
        <w:ind w:left="300" w:right="399"/>
        <w:spacing w:after="0" w:line="257" w:lineRule="auto"/>
        <w:rPr>
          <w:sz w:val="20"/>
          <w:szCs w:val="20"/>
          <w:color w:val="auto"/>
        </w:rPr>
      </w:pPr>
      <w:r>
        <w:rPr>
          <w:rFonts w:ascii="Times New Roman" w:cs="Times New Roman" w:eastAsia="Times New Roman" w:hAnsi="Times New Roman"/>
          <w:sz w:val="18"/>
          <w:szCs w:val="18"/>
          <w:color w:val="auto"/>
        </w:rPr>
        <w:t>Under these rules, we are required to provide compensation disclosure for (i) our principal executive officer, (ii) the two most highly compensated executive officers other than our principal executive officer who were serving as executive officers as of December 31, 2025 and (iii) up to two additional individuals who would have been in</w:t>
      </w:r>
    </w:p>
    <w:p>
      <w:pPr>
        <w:spacing w:after="0" w:line="1" w:lineRule="exact"/>
        <w:rPr>
          <w:sz w:val="20"/>
          <w:szCs w:val="20"/>
          <w:color w:val="auto"/>
        </w:rPr>
      </w:pPr>
    </w:p>
    <w:p>
      <w:pPr>
        <w:ind w:left="300" w:right="559" w:hanging="8"/>
        <w:spacing w:after="0" w:line="260" w:lineRule="auto"/>
        <w:tabs>
          <w:tab w:leader="none" w:pos="5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but for the fact that they were not serving as executive officers as of December 31, 2025. For 2025, our named executive officers are:</w:t>
      </w:r>
    </w:p>
    <w:p>
      <w:pPr>
        <w:spacing w:after="0" w:line="7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Love, Esq., our President and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Ted Yednock, Ph.D., our Executive Vice President and Chief Innovation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Jennifer Lew, our Executive Vice President and Chief Financial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years ended December 31, 2025 and 2024, as applicable:</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4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 during 2025</w:t>
            </w:r>
          </w:p>
        </w:tc>
        <w:tc>
          <w:tcPr>
            <w:tcW w:w="60" w:type="dxa"/>
            <w:vAlign w:val="bottom"/>
          </w:tcPr>
          <w:p>
            <w:pPr>
              <w:spacing w:after="0"/>
              <w:rPr>
                <w:sz w:val="12"/>
                <w:szCs w:val="12"/>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6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60" w:type="dxa"/>
            <w:vAlign w:val="bottom"/>
          </w:tcPr>
          <w:p>
            <w:pPr>
              <w:spacing w:after="0"/>
              <w:rPr>
                <w:sz w:val="18"/>
                <w:szCs w:val="18"/>
                <w:color w:val="auto"/>
              </w:rPr>
            </w:pPr>
          </w:p>
        </w:tc>
        <w:tc>
          <w:tcPr>
            <w:tcW w:w="7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40" w:type="dxa"/>
            <w:vAlign w:val="bottom"/>
          </w:tcPr>
          <w:p>
            <w:pPr>
              <w:spacing w:after="0"/>
              <w:rPr>
                <w:sz w:val="18"/>
                <w:szCs w:val="18"/>
                <w:color w:val="auto"/>
              </w:rPr>
            </w:pPr>
          </w:p>
        </w:tc>
        <w:tc>
          <w:tcPr>
            <w:tcW w:w="9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(2)</w:t>
            </w:r>
          </w:p>
        </w:tc>
        <w:tc>
          <w:tcPr>
            <w:tcW w:w="4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Love, Esq.</w:t>
            </w:r>
          </w:p>
        </w:tc>
        <w:tc>
          <w:tcPr>
            <w:tcW w:w="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2025 670,833</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2,522,260</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371,250</w:t>
            </w:r>
          </w:p>
        </w:tc>
        <w:tc>
          <w:tcPr>
            <w:tcW w:w="96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16"/>
                <w:szCs w:val="16"/>
                <w:color w:val="auto"/>
              </w:rPr>
              <w:t>14,858</w:t>
            </w:r>
            <w:r>
              <w:rPr>
                <w:rFonts w:ascii="Times New Roman" w:cs="Times New Roman" w:eastAsia="Times New Roman" w:hAnsi="Times New Roman"/>
                <w:sz w:val="25"/>
                <w:szCs w:val="25"/>
                <w:color w:val="auto"/>
                <w:vertAlign w:val="superscript"/>
              </w:rPr>
              <w:t>(3)</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3,579,202</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&amp; Chief Executive</w:t>
            </w:r>
          </w:p>
        </w:tc>
        <w:tc>
          <w:tcPr>
            <w:tcW w:w="60" w:type="dxa"/>
            <w:vAlign w:val="bottom"/>
            <w:shd w:val="clear" w:color="auto" w:fill="CCEEFF"/>
          </w:tcPr>
          <w:p>
            <w:pPr>
              <w:spacing w:after="0"/>
              <w:rPr>
                <w:sz w:val="18"/>
                <w:szCs w:val="18"/>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2024 641,099</w:t>
            </w:r>
          </w:p>
        </w:tc>
        <w:tc>
          <w:tcPr>
            <w:tcW w:w="4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2,661,939</w:t>
            </w:r>
          </w:p>
        </w:tc>
        <w:tc>
          <w:tcPr>
            <w:tcW w:w="9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357,500</w:t>
            </w:r>
          </w:p>
        </w:tc>
        <w:tc>
          <w:tcPr>
            <w:tcW w:w="96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12,208</w:t>
            </w:r>
          </w:p>
        </w:tc>
        <w:tc>
          <w:tcPr>
            <w:tcW w:w="8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3,672,746</w:t>
            </w:r>
          </w:p>
        </w:tc>
        <w:tc>
          <w:tcPr>
            <w:tcW w:w="0" w:type="dxa"/>
            <w:vAlign w:val="bottom"/>
          </w:tcPr>
          <w:p>
            <w:pPr>
              <w:spacing w:after="0"/>
              <w:rPr>
                <w:sz w:val="1"/>
                <w:szCs w:val="1"/>
                <w:color w:val="auto"/>
              </w:rPr>
            </w:pPr>
          </w:p>
        </w:tc>
      </w:tr>
      <w:tr>
        <w:trPr>
          <w:trHeight w:val="88"/>
        </w:trPr>
        <w:tc>
          <w:tcPr>
            <w:tcW w:w="27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0" w:type="dxa"/>
            <w:vAlign w:val="bottom"/>
            <w:shd w:val="clear" w:color="auto" w:fill="CCEEFF"/>
          </w:tcPr>
          <w:p>
            <w:pPr>
              <w:spacing w:after="0"/>
              <w:rPr>
                <w:sz w:val="7"/>
                <w:szCs w:val="7"/>
                <w:color w:val="auto"/>
              </w:rPr>
            </w:pPr>
          </w:p>
        </w:tc>
        <w:tc>
          <w:tcPr>
            <w:tcW w:w="1020" w:type="dxa"/>
            <w:vAlign w:val="bottom"/>
            <w:gridSpan w:val="3"/>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0" w:type="dxa"/>
            <w:vAlign w:val="bottom"/>
            <w:gridSpan w:val="3"/>
            <w:vMerge w:val="continue"/>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Ted Yednock, Ph.D.</w:t>
            </w:r>
          </w:p>
        </w:tc>
        <w:tc>
          <w:tcPr>
            <w:tcW w:w="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2025 497,583</w:t>
            </w:r>
          </w:p>
        </w:tc>
        <w:tc>
          <w:tcPr>
            <w:tcW w:w="40" w:type="dxa"/>
            <w:vAlign w:val="bottom"/>
          </w:tcPr>
          <w:p>
            <w:pPr>
              <w:spacing w:after="0"/>
              <w:rPr>
                <w:sz w:val="18"/>
                <w:szCs w:val="18"/>
                <w:color w:val="auto"/>
              </w:rPr>
            </w:pP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112,408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528,850</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200,300</w:t>
            </w:r>
          </w:p>
        </w:tc>
        <w:tc>
          <w:tcPr>
            <w:tcW w:w="9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39,911</w:t>
            </w:r>
            <w:r>
              <w:rPr>
                <w:rFonts w:ascii="Times New Roman" w:cs="Times New Roman" w:eastAsia="Times New Roman" w:hAnsi="Times New Roman"/>
                <w:sz w:val="25"/>
                <w:szCs w:val="25"/>
                <w:color w:val="auto"/>
                <w:vertAlign w:val="superscript"/>
              </w:rPr>
              <w:t>(4)</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1,379,052</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w w:val="98"/>
              </w:rPr>
              <w:t>Executive Vice President and Chief</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2024 478,772</w:t>
            </w:r>
          </w:p>
        </w:tc>
        <w:tc>
          <w:tcPr>
            <w:tcW w:w="40" w:type="dxa"/>
            <w:vAlign w:val="bottom"/>
          </w:tcPr>
          <w:p>
            <w:pPr>
              <w:spacing w:after="0"/>
              <w:rPr>
                <w:sz w:val="21"/>
                <w:szCs w:val="21"/>
                <w:color w:val="auto"/>
              </w:rPr>
            </w:pP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200,070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649,056</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192,600</w:t>
            </w: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43,296</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1,563,793</w:t>
            </w:r>
          </w:p>
        </w:tc>
        <w:tc>
          <w:tcPr>
            <w:tcW w:w="0" w:type="dxa"/>
            <w:vAlign w:val="bottom"/>
          </w:tcPr>
          <w:p>
            <w:pPr>
              <w:spacing w:after="0"/>
              <w:rPr>
                <w:sz w:val="1"/>
                <w:szCs w:val="1"/>
                <w:color w:val="auto"/>
              </w:rPr>
            </w:pPr>
          </w:p>
        </w:tc>
      </w:tr>
      <w:tr>
        <w:trPr>
          <w:trHeight w:val="211"/>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Innovation Officer</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Jennifer Lew.</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2025 495,817</w:t>
            </w:r>
          </w:p>
        </w:tc>
        <w:tc>
          <w:tcPr>
            <w:tcW w:w="40" w:type="dxa"/>
            <w:vAlign w:val="bottom"/>
          </w:tcPr>
          <w:p>
            <w:pPr>
              <w:spacing w:after="0"/>
              <w:rPr>
                <w:sz w:val="19"/>
                <w:szCs w:val="19"/>
                <w:color w:val="auto"/>
              </w:rPr>
            </w:pP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112,408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528,850</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200,200</w:t>
            </w:r>
          </w:p>
        </w:tc>
        <w:tc>
          <w:tcPr>
            <w:tcW w:w="96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16"/>
                <w:szCs w:val="16"/>
                <w:color w:val="auto"/>
              </w:rPr>
              <w:t>4,000</w:t>
            </w:r>
            <w:r>
              <w:rPr>
                <w:rFonts w:ascii="Times New Roman" w:cs="Times New Roman" w:eastAsia="Times New Roman" w:hAnsi="Times New Roman"/>
                <w:sz w:val="25"/>
                <w:szCs w:val="25"/>
                <w:color w:val="auto"/>
                <w:vertAlign w:val="superscript"/>
              </w:rPr>
              <w:t>(6)</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1,341,274</w:t>
            </w:r>
          </w:p>
        </w:tc>
        <w:tc>
          <w:tcPr>
            <w:tcW w:w="0" w:type="dxa"/>
            <w:vAlign w:val="bottom"/>
          </w:tcPr>
          <w:p>
            <w:pPr>
              <w:spacing w:after="0"/>
              <w:rPr>
                <w:sz w:val="1"/>
                <w:szCs w:val="1"/>
                <w:color w:val="auto"/>
              </w:rPr>
            </w:pPr>
          </w:p>
        </w:tc>
      </w:tr>
      <w:tr>
        <w:trPr>
          <w:trHeight w:val="231"/>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w w:val="98"/>
              </w:rPr>
              <w:t>Executive Vice President and Chief</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-283210</wp:posOffset>
            </wp:positionV>
            <wp:extent cx="5349240" cy="4800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i w:val="1"/>
          <w:iCs w:val="1"/>
          <w:color w:val="auto"/>
        </w:rPr>
        <w:t>Financial Officer</w:t>
      </w:r>
      <w:r>
        <w:rPr>
          <w:rFonts w:ascii="Times New Roman" w:cs="Times New Roman" w:eastAsia="Times New Roman" w:hAnsi="Times New Roman"/>
          <w:sz w:val="29"/>
          <w:szCs w:val="29"/>
          <w:i w:val="1"/>
          <w:i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139065</wp:posOffset>
            </wp:positionV>
            <wp:extent cx="8229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3" w:lineRule="exact"/>
        <w:rPr>
          <w:sz w:val="20"/>
          <w:szCs w:val="20"/>
          <w:color w:val="auto"/>
        </w:rPr>
      </w:pPr>
    </w:p>
    <w:p>
      <w:pPr>
        <w:ind w:left="640" w:right="339" w:hanging="348"/>
        <w:spacing w:after="0" w:line="233"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the “Option Awards” and “Stock Awards” columns reflect the aggregate grant date fair value of stock options and restricted stock units granted during the fiscal year computed in accordance with the provisions of ASC-718. The assumptions that we used to calculate these amounts are discussed in Note 7 of our Annual Report on Form 10-K for the fiscal year ended December 31, 2025. These amounts may not reflect the actual economic value that will be realized by the named executive officer upon the exercise of the stock options or the sale of the common stock issued upon such exercise.</w:t>
      </w:r>
    </w:p>
    <w:p>
      <w:pPr>
        <w:spacing w:after="0" w:line="15" w:lineRule="exact"/>
        <w:rPr>
          <w:rFonts w:ascii="Times New Roman" w:cs="Times New Roman" w:eastAsia="Times New Roman" w:hAnsi="Times New Roman"/>
          <w:sz w:val="14"/>
          <w:szCs w:val="14"/>
          <w:color w:val="auto"/>
        </w:rPr>
      </w:pPr>
    </w:p>
    <w:p>
      <w:pPr>
        <w:ind w:left="640" w:right="47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the “Non-equity Incentive Plan Compensation” column represent amounts earned by our named executive officers under our performance-based cash bonus program based on the achievement of pre-established corporate goals.</w:t>
      </w: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key-person life insurance premiums of $10,858 and 401(k) matching contributions of $4,000.</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key-person life insurance premiums of $29,636 and reimbursement of commuting expenses of $10,275.</w:t>
      </w:r>
    </w:p>
    <w:p>
      <w:pPr>
        <w:spacing w:after="0" w:line="41" w:lineRule="exact"/>
        <w:rPr>
          <w:rFonts w:ascii="Times New Roman" w:cs="Times New Roman" w:eastAsia="Times New Roman" w:hAnsi="Times New Roman"/>
          <w:sz w:val="14"/>
          <w:szCs w:val="14"/>
          <w:color w:val="auto"/>
        </w:rPr>
      </w:pPr>
    </w:p>
    <w:p>
      <w:pPr>
        <w:ind w:left="640" w:right="49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Lew was not a named executive officer for 2024, nor have we previously reported her compensation for 2024. Accordingly, we have excluded Ms. Lew’s compensation for 2024.</w:t>
      </w: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401(k) matching contributions.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121" w:lineRule="exact"/>
        <w:rPr>
          <w:sz w:val="20"/>
          <w:szCs w:val="20"/>
          <w:color w:val="auto"/>
        </w:rPr>
      </w:pPr>
    </w:p>
    <w:p>
      <w:pPr>
        <w:ind w:left="300" w:right="95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equity and stock awards held by our named executive officers as of December 31, 2025:</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1311275" cy="14573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11275" cy="1457325"/>
                    </a:xfrm>
                    <a:prstGeom prst="rect">
                      <a:avLst/>
                    </a:prstGeom>
                    <a:noFill/>
                  </pic:spPr>
                </pic:pic>
              </a:graphicData>
            </a:graphic>
          </wp:anchor>
        </w:drawing>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Douglas Love, Esq.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Ted Yednock,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Jennifer Lew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1268730" cy="2168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68730" cy="2168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10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4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(1)</w:t>
            </w:r>
          </w:p>
        </w:tc>
        <w:tc>
          <w:tcPr>
            <w:tcW w:w="0" w:type="dxa"/>
            <w:vAlign w:val="bottom"/>
          </w:tcPr>
          <w:p>
            <w:pPr>
              <w:spacing w:after="0"/>
              <w:rPr>
                <w:sz w:val="1"/>
                <w:szCs w:val="1"/>
                <w:color w:val="auto"/>
              </w:rPr>
            </w:pPr>
          </w:p>
        </w:tc>
      </w:tr>
      <w:tr>
        <w:trPr>
          <w:trHeight w:val="291"/>
        </w:trPr>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line="291" w:lineRule="exact"/>
              <w:rPr>
                <w:sz w:val="20"/>
                <w:szCs w:val="20"/>
                <w:color w:val="auto"/>
              </w:rPr>
            </w:pPr>
            <w:r>
              <w:rPr>
                <w:rFonts w:ascii="Times New Roman" w:cs="Times New Roman" w:eastAsia="Times New Roman" w:hAnsi="Times New Roman"/>
                <w:sz w:val="18"/>
                <w:szCs w:val="18"/>
                <w:color w:val="auto"/>
              </w:rPr>
              <w:t>12/12/2018</w:t>
            </w:r>
            <w:r>
              <w:rPr>
                <w:rFonts w:ascii="Times New Roman" w:cs="Times New Roman" w:eastAsia="Times New Roman" w:hAnsi="Times New Roman"/>
                <w:sz w:val="29"/>
                <w:szCs w:val="29"/>
                <w:color w:val="auto"/>
                <w:vertAlign w:val="superscript"/>
              </w:rPr>
              <w:t>(2)</w:t>
            </w:r>
          </w:p>
        </w:tc>
        <w:tc>
          <w:tcPr>
            <w:tcW w:w="9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537,844</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5"/>
              </w:rPr>
              <w:t>5.11</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1/22/2029</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6/29/2020</w:t>
            </w:r>
            <w:r>
              <w:rPr>
                <w:rFonts w:ascii="Times New Roman" w:cs="Times New Roman" w:eastAsia="Times New Roman" w:hAnsi="Times New Roman"/>
                <w:sz w:val="29"/>
                <w:szCs w:val="29"/>
                <w:color w:val="auto"/>
                <w:vertAlign w:val="superscript"/>
              </w:rPr>
              <w:t>(2)</w:t>
            </w:r>
          </w:p>
        </w:tc>
        <w:tc>
          <w:tcPr>
            <w:tcW w:w="9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414,301</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13.30</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6/29/2030</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2/25/2021</w:t>
            </w:r>
            <w:r>
              <w:rPr>
                <w:rFonts w:ascii="Times New Roman" w:cs="Times New Roman" w:eastAsia="Times New Roman" w:hAnsi="Times New Roman"/>
                <w:sz w:val="29"/>
                <w:szCs w:val="29"/>
                <w:color w:val="auto"/>
                <w:vertAlign w:val="superscript"/>
              </w:rPr>
              <w:t>(2)</w:t>
            </w:r>
          </w:p>
        </w:tc>
        <w:tc>
          <w:tcPr>
            <w:tcW w:w="9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325,000</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30.07</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2/25/2031</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2/11/2022</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306,666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6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5"/>
              </w:rPr>
              <w:t>6.94</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2/11/2032</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7/11/2022</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5"/>
              </w:rPr>
              <w:t>3.91</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7/11/2032</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2/16/2023</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244,375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100,625</w:t>
            </w:r>
          </w:p>
        </w:tc>
        <w:tc>
          <w:tcPr>
            <w:tcW w:w="6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5"/>
              </w:rPr>
              <w:t>5.94</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2/16/2033</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2/16/2024</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300,758</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355,442</w:t>
            </w:r>
          </w:p>
        </w:tc>
        <w:tc>
          <w:tcPr>
            <w:tcW w:w="6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5"/>
              </w:rPr>
              <w:t>5.13</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2/16/2034</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2/27/2025</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270,833</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1,029,167</w:t>
            </w:r>
          </w:p>
        </w:tc>
        <w:tc>
          <w:tcPr>
            <w:tcW w:w="6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5"/>
              </w:rPr>
              <w:t>2.50</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2/27/2035</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80" w:type="dxa"/>
            <w:vAlign w:val="bottom"/>
          </w:tcPr>
          <w:p>
            <w:pPr>
              <w:spacing w:after="0"/>
              <w:rPr>
                <w:sz w:val="24"/>
                <w:szCs w:val="24"/>
                <w:color w:val="auto"/>
              </w:rPr>
            </w:pPr>
          </w:p>
        </w:tc>
        <w:tc>
          <w:tcPr>
            <w:tcW w:w="1100" w:type="dxa"/>
            <w:vAlign w:val="bottom"/>
          </w:tcPr>
          <w:p>
            <w:pPr>
              <w:jc w:val="right"/>
              <w:spacing w:after="0" w:line="283" w:lineRule="exact"/>
              <w:rPr>
                <w:sz w:val="20"/>
                <w:szCs w:val="20"/>
                <w:color w:val="auto"/>
              </w:rPr>
            </w:pPr>
            <w:r>
              <w:rPr>
                <w:rFonts w:ascii="Times New Roman" w:cs="Times New Roman" w:eastAsia="Times New Roman" w:hAnsi="Times New Roman"/>
                <w:sz w:val="18"/>
                <w:szCs w:val="18"/>
                <w:color w:val="auto"/>
              </w:rPr>
              <w:t>8/11/2016</w:t>
            </w:r>
            <w:r>
              <w:rPr>
                <w:rFonts w:ascii="Times New Roman" w:cs="Times New Roman" w:eastAsia="Times New Roman" w:hAnsi="Times New Roman"/>
                <w:sz w:val="29"/>
                <w:szCs w:val="29"/>
                <w:color w:val="auto"/>
                <w:vertAlign w:val="superscript"/>
              </w:rPr>
              <w:t>(2)</w:t>
            </w:r>
          </w:p>
        </w:tc>
        <w:tc>
          <w:tcPr>
            <w:tcW w:w="9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28,028</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5"/>
              </w:rPr>
              <w:t>1.85</w:t>
            </w:r>
          </w:p>
        </w:tc>
        <w:tc>
          <w:tcPr>
            <w:tcW w:w="11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8/11/2026</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10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rPr>
              <w:t>8/11/2016</w:t>
            </w:r>
            <w:r>
              <w:rPr>
                <w:rFonts w:ascii="Times New Roman" w:cs="Times New Roman" w:eastAsia="Times New Roman" w:hAnsi="Times New Roman"/>
                <w:sz w:val="29"/>
                <w:szCs w:val="29"/>
                <w:color w:val="auto"/>
                <w:vertAlign w:val="superscript"/>
              </w:rPr>
              <w:t>(2)</w:t>
            </w:r>
          </w:p>
        </w:tc>
        <w:tc>
          <w:tcPr>
            <w:tcW w:w="9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2,618</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5"/>
              </w:rPr>
              <w:t>1.85</w:t>
            </w:r>
          </w:p>
        </w:tc>
        <w:tc>
          <w:tcPr>
            <w:tcW w:w="11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8/11/2026</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110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rPr>
              <w:t>12/12/2018</w:t>
            </w:r>
            <w:r>
              <w:rPr>
                <w:rFonts w:ascii="Times New Roman" w:cs="Times New Roman" w:eastAsia="Times New Roman" w:hAnsi="Times New Roman"/>
                <w:sz w:val="29"/>
                <w:szCs w:val="29"/>
                <w:color w:val="auto"/>
                <w:vertAlign w:val="superscript"/>
              </w:rPr>
              <w:t>(2)</w:t>
            </w:r>
          </w:p>
        </w:tc>
        <w:tc>
          <w:tcPr>
            <w:tcW w:w="9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67,939</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5"/>
              </w:rPr>
              <w:t>5.11</w:t>
            </w:r>
          </w:p>
        </w:tc>
        <w:tc>
          <w:tcPr>
            <w:tcW w:w="11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1/22/2029</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10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rPr>
              <w:t>6/29/2020</w:t>
            </w:r>
            <w:r>
              <w:rPr>
                <w:rFonts w:ascii="Times New Roman" w:cs="Times New Roman" w:eastAsia="Times New Roman" w:hAnsi="Times New Roman"/>
                <w:sz w:val="29"/>
                <w:szCs w:val="29"/>
                <w:color w:val="auto"/>
                <w:vertAlign w:val="superscript"/>
              </w:rPr>
              <w:t>(2)</w:t>
            </w:r>
          </w:p>
        </w:tc>
        <w:tc>
          <w:tcPr>
            <w:tcW w:w="9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192,962</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13.30</w:t>
            </w:r>
          </w:p>
        </w:tc>
        <w:tc>
          <w:tcPr>
            <w:tcW w:w="11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6/29/2030</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10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rPr>
              <w:t>2/25/2021</w:t>
            </w:r>
            <w:r>
              <w:rPr>
                <w:rFonts w:ascii="Times New Roman" w:cs="Times New Roman" w:eastAsia="Times New Roman" w:hAnsi="Times New Roman"/>
                <w:sz w:val="29"/>
                <w:szCs w:val="29"/>
                <w:color w:val="auto"/>
                <w:vertAlign w:val="superscript"/>
              </w:rPr>
              <w:t>(2)</w:t>
            </w:r>
          </w:p>
        </w:tc>
        <w:tc>
          <w:tcPr>
            <w:tcW w:w="9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115,000</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30.07</w:t>
            </w:r>
          </w:p>
        </w:tc>
        <w:tc>
          <w:tcPr>
            <w:tcW w:w="11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2/25/2031</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10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rPr>
              <w:t>02/11/2022</w:t>
            </w:r>
            <w:r>
              <w:rPr>
                <w:rFonts w:ascii="Times New Roman" w:cs="Times New Roman" w:eastAsia="Times New Roman" w:hAnsi="Times New Roman"/>
                <w:sz w:val="29"/>
                <w:szCs w:val="29"/>
                <w:color w:val="auto"/>
                <w:vertAlign w:val="superscript"/>
              </w:rPr>
              <w:t>(3)</w:t>
            </w:r>
          </w:p>
        </w:tc>
        <w:tc>
          <w:tcPr>
            <w:tcW w:w="9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95,833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6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5"/>
              </w:rPr>
              <w:t>6.94</w:t>
            </w:r>
          </w:p>
        </w:tc>
        <w:tc>
          <w:tcPr>
            <w:tcW w:w="11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2/11/2032</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110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rPr>
              <w:t>7/22/2022</w:t>
            </w:r>
            <w:r>
              <w:rPr>
                <w:rFonts w:ascii="Times New Roman" w:cs="Times New Roman" w:eastAsia="Times New Roman" w:hAnsi="Times New Roman"/>
                <w:sz w:val="29"/>
                <w:szCs w:val="29"/>
                <w:color w:val="auto"/>
                <w:vertAlign w:val="superscript"/>
              </w:rPr>
              <w:t>(2)</w:t>
            </w:r>
          </w:p>
        </w:tc>
        <w:tc>
          <w:tcPr>
            <w:tcW w:w="9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5"/>
              </w:rPr>
              <w:t>3.91</w:t>
            </w:r>
          </w:p>
        </w:tc>
        <w:tc>
          <w:tcPr>
            <w:tcW w:w="11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7/11/2032</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10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rPr>
              <w:t>2/16/2023</w:t>
            </w:r>
            <w:r>
              <w:rPr>
                <w:rFonts w:ascii="Times New Roman" w:cs="Times New Roman" w:eastAsia="Times New Roman" w:hAnsi="Times New Roman"/>
                <w:sz w:val="29"/>
                <w:szCs w:val="29"/>
                <w:color w:val="auto"/>
                <w:vertAlign w:val="superscript"/>
              </w:rPr>
              <w:t>(3)</w:t>
            </w:r>
          </w:p>
        </w:tc>
        <w:tc>
          <w:tcPr>
            <w:tcW w:w="9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54,577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22,473</w:t>
            </w:r>
          </w:p>
        </w:tc>
        <w:tc>
          <w:tcPr>
            <w:tcW w:w="6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5"/>
              </w:rPr>
              <w:t>5.94</w:t>
            </w:r>
          </w:p>
        </w:tc>
        <w:tc>
          <w:tcPr>
            <w:tcW w:w="11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2/16/2033</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10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rPr>
              <w:t>2/16/2023</w:t>
            </w:r>
            <w:r>
              <w:rPr>
                <w:rFonts w:ascii="Times New Roman" w:cs="Times New Roman" w:eastAsia="Times New Roman" w:hAnsi="Times New Roman"/>
                <w:sz w:val="29"/>
                <w:szCs w:val="29"/>
                <w:color w:val="auto"/>
                <w:vertAlign w:val="superscript"/>
              </w:rPr>
              <w:t>(4)</w:t>
            </w:r>
          </w:p>
        </w:tc>
        <w:tc>
          <w:tcPr>
            <w:tcW w:w="120" w:type="dxa"/>
            <w:vAlign w:val="bottom"/>
          </w:tcPr>
          <w:p>
            <w:pPr>
              <w:spacing w:after="0"/>
              <w:rPr>
                <w:sz w:val="24"/>
                <w:szCs w:val="24"/>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6,325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31,752</w:t>
            </w: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110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rPr>
              <w:t>2/16/2024</w:t>
            </w:r>
            <w:r>
              <w:rPr>
                <w:rFonts w:ascii="Times New Roman" w:cs="Times New Roman" w:eastAsia="Times New Roman" w:hAnsi="Times New Roman"/>
                <w:sz w:val="29"/>
                <w:szCs w:val="29"/>
                <w:color w:val="auto"/>
                <w:vertAlign w:val="superscript"/>
              </w:rPr>
              <w:t>(3)</w:t>
            </w:r>
          </w:p>
        </w:tc>
        <w:tc>
          <w:tcPr>
            <w:tcW w:w="9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73,333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86,667</w:t>
            </w:r>
          </w:p>
        </w:tc>
        <w:tc>
          <w:tcPr>
            <w:tcW w:w="6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5"/>
              </w:rPr>
              <w:t>5.13</w:t>
            </w:r>
          </w:p>
        </w:tc>
        <w:tc>
          <w:tcPr>
            <w:tcW w:w="11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2/16/2034</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10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rPr>
              <w:t>2/16/2024</w:t>
            </w:r>
            <w:r>
              <w:rPr>
                <w:rFonts w:ascii="Times New Roman" w:cs="Times New Roman" w:eastAsia="Times New Roman" w:hAnsi="Times New Roman"/>
                <w:sz w:val="29"/>
                <w:szCs w:val="29"/>
                <w:color w:val="auto"/>
                <w:vertAlign w:val="superscript"/>
              </w:rPr>
              <w:t>(4)</w:t>
            </w:r>
          </w:p>
        </w:tc>
        <w:tc>
          <w:tcPr>
            <w:tcW w:w="120" w:type="dxa"/>
            <w:vAlign w:val="bottom"/>
          </w:tcPr>
          <w:p>
            <w:pPr>
              <w:spacing w:after="0"/>
              <w:rPr>
                <w:sz w:val="24"/>
                <w:szCs w:val="24"/>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130,520</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10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rPr>
              <w:t>2/27/2025</w:t>
            </w:r>
            <w:r>
              <w:rPr>
                <w:rFonts w:ascii="Times New Roman" w:cs="Times New Roman" w:eastAsia="Times New Roman" w:hAnsi="Times New Roman"/>
                <w:sz w:val="29"/>
                <w:szCs w:val="29"/>
                <w:color w:val="auto"/>
                <w:vertAlign w:val="superscript"/>
              </w:rPr>
              <w:t>(3)</w:t>
            </w:r>
          </w:p>
        </w:tc>
        <w:tc>
          <w:tcPr>
            <w:tcW w:w="9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56,786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215,789</w:t>
            </w:r>
          </w:p>
        </w:tc>
        <w:tc>
          <w:tcPr>
            <w:tcW w:w="6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5"/>
              </w:rPr>
              <w:t>2.50</w:t>
            </w:r>
          </w:p>
        </w:tc>
        <w:tc>
          <w:tcPr>
            <w:tcW w:w="11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2/27/2034</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110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rPr>
              <w:t>2/27/2025</w:t>
            </w:r>
            <w:r>
              <w:rPr>
                <w:rFonts w:ascii="Times New Roman" w:cs="Times New Roman" w:eastAsia="Times New Roman" w:hAnsi="Times New Roman"/>
                <w:sz w:val="29"/>
                <w:szCs w:val="29"/>
                <w:color w:val="auto"/>
                <w:vertAlign w:val="superscript"/>
              </w:rPr>
              <w:t>(4)</w:t>
            </w:r>
          </w:p>
        </w:tc>
        <w:tc>
          <w:tcPr>
            <w:tcW w:w="120" w:type="dxa"/>
            <w:vAlign w:val="bottom"/>
          </w:tcPr>
          <w:p>
            <w:pPr>
              <w:spacing w:after="0"/>
              <w:rPr>
                <w:sz w:val="24"/>
                <w:szCs w:val="24"/>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44,963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225,714</w:t>
            </w:r>
          </w:p>
        </w:tc>
        <w:tc>
          <w:tcPr>
            <w:tcW w:w="0" w:type="dxa"/>
            <w:vAlign w:val="bottom"/>
          </w:tcPr>
          <w:p>
            <w:pPr>
              <w:spacing w:after="0"/>
              <w:rPr>
                <w:sz w:val="1"/>
                <w:szCs w:val="1"/>
                <w:color w:val="auto"/>
              </w:rPr>
            </w:pPr>
          </w:p>
        </w:tc>
      </w:tr>
      <w:tr>
        <w:trPr>
          <w:trHeight w:val="283"/>
        </w:trPr>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6/21/2019</w:t>
            </w:r>
            <w:r>
              <w:rPr>
                <w:rFonts w:ascii="Times New Roman" w:cs="Times New Roman" w:eastAsia="Times New Roman" w:hAnsi="Times New Roman"/>
                <w:sz w:val="29"/>
                <w:szCs w:val="29"/>
                <w:color w:val="auto"/>
                <w:vertAlign w:val="superscript"/>
              </w:rPr>
              <w:t>(2)</w:t>
            </w:r>
          </w:p>
        </w:tc>
        <w:tc>
          <w:tcPr>
            <w:tcW w:w="9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143,793</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5"/>
              </w:rPr>
              <w:t>7.49</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6/21/2029</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6/29/2020</w:t>
            </w:r>
            <w:r>
              <w:rPr>
                <w:rFonts w:ascii="Times New Roman" w:cs="Times New Roman" w:eastAsia="Times New Roman" w:hAnsi="Times New Roman"/>
                <w:sz w:val="29"/>
                <w:szCs w:val="29"/>
                <w:color w:val="auto"/>
                <w:vertAlign w:val="superscript"/>
              </w:rPr>
              <w:t>(2)</w:t>
            </w:r>
          </w:p>
        </w:tc>
        <w:tc>
          <w:tcPr>
            <w:tcW w:w="9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68,104</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13.30</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6/29/2030</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2/25/2021</w:t>
            </w:r>
            <w:r>
              <w:rPr>
                <w:rFonts w:ascii="Times New Roman" w:cs="Times New Roman" w:eastAsia="Times New Roman" w:hAnsi="Times New Roman"/>
                <w:sz w:val="29"/>
                <w:szCs w:val="29"/>
                <w:color w:val="auto"/>
                <w:vertAlign w:val="superscript"/>
              </w:rPr>
              <w:t>(2)</w:t>
            </w:r>
          </w:p>
        </w:tc>
        <w:tc>
          <w:tcPr>
            <w:tcW w:w="9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115,000</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30.07</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2/25/2031</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2/11/2022</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95,833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6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5"/>
              </w:rPr>
              <w:t>6.94</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2/11/2032</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7/11/2022</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5"/>
              </w:rPr>
              <w:t>3.91</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7/11/2032</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2/16/2023</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54,577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22,473</w:t>
            </w:r>
          </w:p>
        </w:tc>
        <w:tc>
          <w:tcPr>
            <w:tcW w:w="6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5"/>
              </w:rPr>
              <w:t>5.94</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2/16/2033</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2/16/2024</w:t>
            </w:r>
            <w:r>
              <w:rPr>
                <w:rFonts w:ascii="Times New Roman" w:cs="Times New Roman" w:eastAsia="Times New Roman" w:hAnsi="Times New Roman"/>
                <w:sz w:val="29"/>
                <w:szCs w:val="29"/>
                <w:color w:val="auto"/>
                <w:vertAlign w:val="superscript"/>
              </w:rPr>
              <w:t>(4)</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6,325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31,752</w:t>
            </w:r>
          </w:p>
        </w:tc>
        <w:tc>
          <w:tcPr>
            <w:tcW w:w="0" w:type="dxa"/>
            <w:vAlign w:val="bottom"/>
          </w:tcPr>
          <w:p>
            <w:pPr>
              <w:spacing w:after="0"/>
              <w:rPr>
                <w:sz w:val="1"/>
                <w:szCs w:val="1"/>
                <w:color w:val="auto"/>
              </w:rPr>
            </w:pPr>
          </w:p>
        </w:tc>
      </w:tr>
      <w:tr>
        <w:trPr>
          <w:trHeight w:val="283"/>
        </w:trPr>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2/16/2024</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73,333</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86,667</w:t>
            </w:r>
          </w:p>
        </w:tc>
        <w:tc>
          <w:tcPr>
            <w:tcW w:w="6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5"/>
              </w:rPr>
              <w:t>5.13</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2/16/2034</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2/16/2024</w:t>
            </w:r>
            <w:r>
              <w:rPr>
                <w:rFonts w:ascii="Times New Roman" w:cs="Times New Roman" w:eastAsia="Times New Roman" w:hAnsi="Times New Roman"/>
                <w:sz w:val="29"/>
                <w:szCs w:val="29"/>
                <w:color w:val="auto"/>
                <w:vertAlign w:val="superscript"/>
              </w:rPr>
              <w:t>(4)</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130,520</w:t>
            </w:r>
          </w:p>
        </w:tc>
        <w:tc>
          <w:tcPr>
            <w:tcW w:w="0" w:type="dxa"/>
            <w:vAlign w:val="bottom"/>
          </w:tcPr>
          <w:p>
            <w:pPr>
              <w:spacing w:after="0"/>
              <w:rPr>
                <w:sz w:val="1"/>
                <w:szCs w:val="1"/>
                <w:color w:val="auto"/>
              </w:rPr>
            </w:pPr>
          </w:p>
        </w:tc>
      </w:tr>
      <w:tr>
        <w:trPr>
          <w:trHeight w:val="283"/>
        </w:trPr>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2/27/2025</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56,786</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215,789</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2.50</w:t>
            </w:r>
          </w:p>
        </w:tc>
        <w:tc>
          <w:tcPr>
            <w:tcW w:w="11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2/27/2034</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2/27/2025</w:t>
            </w:r>
            <w:r>
              <w:rPr>
                <w:rFonts w:ascii="Times New Roman" w:cs="Times New Roman" w:eastAsia="Times New Roman" w:hAnsi="Times New Roman"/>
                <w:sz w:val="29"/>
                <w:szCs w:val="29"/>
                <w:color w:val="auto"/>
                <w:vertAlign w:val="superscript"/>
              </w:rPr>
              <w:t>(4)</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225,714</w:t>
            </w:r>
          </w:p>
        </w:tc>
        <w:tc>
          <w:tcPr>
            <w:tcW w:w="0" w:type="dxa"/>
            <w:vAlign w:val="bottom"/>
          </w:tcPr>
          <w:p>
            <w:pPr>
              <w:spacing w:after="0"/>
              <w:rPr>
                <w:sz w:val="1"/>
                <w:szCs w:val="1"/>
                <w:color w:val="auto"/>
              </w:rPr>
            </w:pPr>
          </w:p>
        </w:tc>
      </w:tr>
      <w:tr>
        <w:trPr>
          <w:trHeight w:val="54"/>
        </w:trPr>
        <w:tc>
          <w:tcPr>
            <w:tcW w:w="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740" w:space="540"/>
            <w:col w:w="6739"/>
          </w:cols>
          <w:pgMar w:left="1440" w:top="114" w:right="1440" w:bottom="1440" w:gutter="0" w:footer="0" w:header="0"/>
          <w:type w:val="continuous"/>
        </w:sectPr>
      </w:pPr>
    </w:p>
    <w:p>
      <w:pPr>
        <w:spacing w:after="0" w:line="88" w:lineRule="exact"/>
        <w:rPr>
          <w:sz w:val="20"/>
          <w:szCs w:val="20"/>
          <w:color w:val="auto"/>
        </w:rPr>
      </w:pPr>
    </w:p>
    <w:p>
      <w:pPr>
        <w:ind w:left="640" w:right="41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is calculated by multiplying $5.02, the closing trading price per share of our common stock as of December 31, 2025, by the number of unvested RSUs outstanding as of December 31, 2025.</w:t>
      </w: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is fully vested.</w:t>
      </w:r>
    </w:p>
    <w:p>
      <w:pPr>
        <w:spacing w:after="0" w:line="41" w:lineRule="exact"/>
        <w:rPr>
          <w:rFonts w:ascii="Times New Roman" w:cs="Times New Roman" w:eastAsia="Times New Roman" w:hAnsi="Times New Roman"/>
          <w:sz w:val="14"/>
          <w:szCs w:val="14"/>
          <w:color w:val="auto"/>
        </w:rPr>
      </w:pPr>
    </w:p>
    <w:p>
      <w:pPr>
        <w:ind w:left="640" w:right="53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1/48th of the shares in monthly installments measured from the vesting commencement date, subject to continued service to us through the vesting date.</w:t>
      </w:r>
    </w:p>
    <w:p>
      <w:pPr>
        <w:ind w:left="640" w:right="55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in three equal annual installments on each annual anniversary of the grant date, reflected under “vesting commencement date” above, and will vest in full on the third annual anniversary of the grant date, subject to continued service.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Base Salaries</w:t>
      </w:r>
    </w:p>
    <w:p>
      <w:pPr>
        <w:spacing w:after="0" w:line="121"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February 2026, the base salaries for Mr. Love, Dr. Yednock and Ms. Lew were increased to $700,000,</w:t>
      </w:r>
    </w:p>
    <w:p>
      <w:pPr>
        <w:spacing w:after="0" w:line="27"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$518,500 and $523,500 respectively. These adjustments reflect a 3.7% increase over Mr. Love’s 2025 annual base salary, a 3.5% merit increase over Dr. Yednock’s 2025 annual base salary and a 4.6% merit increase over Ms. Lew’s 2025 annual base salary.</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Annual Performance Based Cash Bonus</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We maintain an annual performance-based cash bonus program in which each of our named executive officers participated in 2025. Each of our named executive officers’ target bonus is expressed as a percentage of base salary which can be achieved by meeting corporate goals at target level. The 2025 annual bonuses for Mr. Love, Dr. Yednock and Ms. Lew were targeted at 55%, 40% and 40% of their respective base salaries.</w:t>
      </w:r>
    </w:p>
    <w:p>
      <w:pPr>
        <w:spacing w:after="0" w:line="72"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For 2025, our named executive officers were eligible to earn annual cash bonuses based on the achievement of certain corporate goals reviewed by the Compensation Committee and approved by the Board. For 2025, the Board set corporate performance goals focused on research, clinical development and business enabling activities. Each goal was defined by specific performance objectives and carried a corresponding weighting, such that the corporate goals could be achieved at up to 145% of target. In the case of our named executive officers other than our CEO, annual bonuses were also based on individual achievement, with achievement of corporate goals weighted 80% and individual achievement weighted 20% in calculating annual bonus amounts.</w:t>
      </w:r>
    </w:p>
    <w:p>
      <w:pPr>
        <w:spacing w:after="0" w:line="81"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In February 2026, the Compensation Committee reviewed and the Board approved the achievement of our 2025 corporate goals at 100% of target. Individual achievement was also assessed at 100% of target for each of</w:t>
      </w:r>
    </w:p>
    <w:p>
      <w:pPr>
        <w:jc w:val="both"/>
        <w:ind w:left="300" w:right="459"/>
        <w:spacing w:after="0" w:line="255" w:lineRule="auto"/>
        <w:rPr>
          <w:sz w:val="20"/>
          <w:szCs w:val="20"/>
          <w:color w:val="auto"/>
        </w:rPr>
      </w:pPr>
      <w:r>
        <w:rPr>
          <w:rFonts w:ascii="Times New Roman" w:cs="Times New Roman" w:eastAsia="Times New Roman" w:hAnsi="Times New Roman"/>
          <w:sz w:val="18"/>
          <w:szCs w:val="18"/>
          <w:color w:val="auto"/>
        </w:rPr>
        <w:t>Dr. Yednock and Ms. Lew. The actual annual cash bonuses earned by each named executive officer based on 2025 corporate and individual performance are set forth above in the Summary Compensation Table in the column titled “Non-equity Incentive Plan Compensation.”</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Equity Compensation</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In February 2025, we granted stock options to Mr. Love, Dr. Yednock and Ms. Lew for the purchase of 1,300,000, 272,575 and 272,575 shares of our common stock, respectively. These options vest in forty-eight (48) equal monthly installments from the grant date, subject to continued service. In addition, Dr. Yednock and Ms. Lew each received a grant of 44,963 RSUs, which vest in three equal annual installments on each annual anniversary of the grant date and will vest in full on the third annual anniversary of the grant date, subject to continued service.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21" w:lineRule="exact"/>
        <w:rPr>
          <w:sz w:val="20"/>
          <w:szCs w:val="20"/>
          <w:color w:val="auto"/>
        </w:rPr>
      </w:pPr>
    </w:p>
    <w:p>
      <w:pPr>
        <w:ind w:left="300" w:right="379"/>
        <w:spacing w:after="0" w:line="271" w:lineRule="auto"/>
        <w:rPr>
          <w:sz w:val="20"/>
          <w:szCs w:val="20"/>
          <w:color w:val="auto"/>
        </w:rPr>
      </w:pPr>
      <w:r>
        <w:rPr>
          <w:rFonts w:ascii="Times New Roman" w:cs="Times New Roman" w:eastAsia="Times New Roman" w:hAnsi="Times New Roman"/>
          <w:sz w:val="17"/>
          <w:szCs w:val="17"/>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In 2025, we matched 50% of contributions made by participants in the 401(k) plan, up to an annual maximum of $4,000. We believe that providing a vehicle for tax-deferred retirement savings through our 401(k) plan adds to the overall desirability of our executive compensation package and further incentivizes our employees, including our named executive officers, in accordance with our compensation policies. All of our full-time employees, including our named executive officers, are eligible to participate in our health and welfare plans, including medical, dental and vision benefits; basic and supplemental life and accidental death and dismemberment insurance; and medical and dependent care flexible spending accounts.</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21"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In connection with our initial public offering in July 2020, we entered into new employment agreements with each of Mr. Love, Dr. Yednock and Ms. Lew, which superseded the terms of their prior offer letters. The employment agreements generally provide for initial base salary, target bonus, initial stock option grants and certain severance benefits as described in more detail below.</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jc w:val="both"/>
        <w:ind w:left="300" w:right="619"/>
        <w:spacing w:after="0" w:line="266" w:lineRule="auto"/>
        <w:rPr>
          <w:sz w:val="20"/>
          <w:szCs w:val="20"/>
          <w:color w:val="auto"/>
        </w:rPr>
      </w:pPr>
      <w:r>
        <w:rPr>
          <w:rFonts w:ascii="Times New Roman" w:cs="Times New Roman" w:eastAsia="Times New Roman" w:hAnsi="Times New Roman"/>
          <w:sz w:val="18"/>
          <w:szCs w:val="18"/>
          <w:color w:val="auto"/>
        </w:rPr>
        <w:t>Pursuant to the employment agreements with each of our named executive officers, in the event the executive is terminated by us without Cause or resigns for Good Reason (each, as defined in the employment agreements), in each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57" w:lineRule="auto"/>
        <w:rPr>
          <w:sz w:val="20"/>
          <w:szCs w:val="20"/>
          <w:color w:val="auto"/>
        </w:rPr>
      </w:pPr>
      <w:r>
        <w:rPr>
          <w:rFonts w:ascii="Times New Roman" w:cs="Times New Roman" w:eastAsia="Times New Roman" w:hAnsi="Times New Roman"/>
          <w:sz w:val="18"/>
          <w:szCs w:val="18"/>
          <w:color w:val="auto"/>
        </w:rPr>
        <w:t>case, other than during the period commencing three months prior to and ending twelve (12) months following a change in control, the executive will receive (i) a lump sum cash payment equal to nine (9) months of base salary, in the case of our executive vice presidents, or twelve (12) months of base salary, in the case of our CEO and</w:t>
      </w:r>
    </w:p>
    <w:p>
      <w:pPr>
        <w:spacing w:after="0" w:line="1" w:lineRule="exact"/>
        <w:rPr>
          <w:sz w:val="20"/>
          <w:szCs w:val="20"/>
          <w:color w:val="auto"/>
        </w:rPr>
      </w:pPr>
    </w:p>
    <w:p>
      <w:pPr>
        <w:ind w:left="300" w:right="379" w:hanging="8"/>
        <w:spacing w:after="0" w:line="251" w:lineRule="auto"/>
        <w:tabs>
          <w:tab w:leader="none" w:pos="5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reimbursement of COBRA premiums for nine (9) months, in the case of our executive vice presidents, or twelve (12) months, in the case of our CEO. In the event the executive is terminated without Cause or resigns for Good Reason, in each case, during the period commencing three months prior to and ending twelve (12) months following a change in control, the executive will receive (i) a lump sum cash payment equal to twelve (12) months of base salary plus the executive’s target annual bonus, in the case of our executive vice presidents, or eighteen (18) months of base salary plus 1.5 times the executive’s target annual bonus, in the case of our CEO, (ii) payment or reimbursement of COBRA premiums for twelve (12) months, in the case of our executive vice presidents, or eighteen (18) months, in the case of our CEO and (iii) and full acceleration of all unvested equity awards. The foregoing severance payments and benefits are subject to the executive’s execution of a release of claims in favor of us.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purposes of our named executive officers’ offer letters and employment agreements:</w:t>
      </w:r>
    </w:p>
    <w:p>
      <w:pPr>
        <w:spacing w:after="0" w:line="117"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“Cause” means (i) the executive’s failure to perform the executive’s assigned duties or responsibilities as an officer of us (other than a failure resulting from the executive’s disability) after notice thereof from us describing the executive’s failure to perform such duties or responsibilities, (ii) the executive’s engaging in any act of dishonesty, fraud or misrepresentation, (iii) the executive’s violation of any federal or state law or regulation applicable to our business or our affiliates, (iv) the executive’s breach of any confidentiality agreement or invention assignment agreement between the executive and us (or any affiliate of us) or (v) the executive’s commission of, or entering a plea of nolo contendere to, any crime or committing any act of moral turpitude; and “Good Reason” for the executive to terminate the executive’s employment shall mean the occurrence of any of the following events without the executive’s consent: (i) a material reduction in the executive’s salary or benefits (excluding the substitution of substantially equivalent compensation and benefits), other than as a result of a reduction in compensation affecting our employees, or our successor entity, generally, (ii) a material diminution in the executive’s duties or responsibilities, provided however, that, a mere change in title or reporting relationship alone shall not constitute “Good Reason” and (iii) relocation of the executive’s place of employment to a location more than fifty (50) miles from our office location. If any of the events set forth above shall occur, the executive shall give prompt written notice of such event to us, or our successor entity, upon becoming aware of such event, and if such event is not cured within thirty (30) days from such notice the executive may exercise his or her rights to resign for Good Reason, provided that if the executive has not exercised such right within forty-five (45) days of the date of the expiration of such cure period, the executive shall be deemed to have agreed to the occurrence of such event.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402(v) Pay Versus Performance</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disclosure included in this section is prescribed by SEC rules and does not necessarily align with how the Company or the Compensation Committee view the link between the Company’s performance and named executive officer (“NEO”) pay.</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Required Tabular Disclosure of Pay Versus Performance</w:t>
      </w:r>
    </w:p>
    <w:p>
      <w:pPr>
        <w:spacing w:after="0" w:line="121"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The amounts in the table set forth below under the headings “Compensation Actually Paid to PEO” and “Average Compensation Actually Paid to Non-PEO NEOs” have been calculated in a manner consistent with Item 402(v) of Regulation S-K. Use of the term “compensation actually paid” (“CAP”) is required by the SEC’s rules and as a result of the calculation methodology required by the SEC, such amounts differ from compensation actually received by the individuals and the compensation decisions described in the Executive Compensation.</w:t>
      </w:r>
    </w:p>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 Based</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80" w:type="dxa"/>
            <w:vAlign w:val="bottom"/>
          </w:tcPr>
          <w:p>
            <w:pPr>
              <w:spacing w:after="0"/>
              <w:rPr>
                <w:sz w:val="2"/>
                <w:szCs w:val="2"/>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8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8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8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for</w:t>
            </w:r>
          </w:p>
        </w:tc>
        <w:tc>
          <w:tcPr>
            <w:tcW w:w="200" w:type="dxa"/>
            <w:vAlign w:val="bottom"/>
          </w:tcPr>
          <w:p>
            <w:pPr>
              <w:spacing w:after="0"/>
              <w:rPr>
                <w:sz w:val="13"/>
                <w:szCs w:val="13"/>
                <w:color w:val="auto"/>
              </w:rPr>
            </w:pPr>
          </w:p>
        </w:tc>
        <w:tc>
          <w:tcPr>
            <w:tcW w:w="10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8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NEOs</w:t>
            </w:r>
          </w:p>
        </w:tc>
        <w:tc>
          <w:tcPr>
            <w:tcW w:w="180" w:type="dxa"/>
            <w:vAlign w:val="bottom"/>
          </w:tcPr>
          <w:p>
            <w:pPr>
              <w:spacing w:after="0"/>
              <w:rPr>
                <w:sz w:val="13"/>
                <w:szCs w:val="13"/>
                <w:color w:val="auto"/>
              </w:rPr>
            </w:pPr>
          </w:p>
        </w:tc>
        <w:tc>
          <w:tcPr>
            <w:tcW w:w="120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1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Return</w:t>
            </w:r>
          </w:p>
        </w:tc>
        <w:tc>
          <w:tcPr>
            <w:tcW w:w="1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21"/>
                <w:szCs w:val="21"/>
                <w:color w:val="auto"/>
              </w:rPr>
            </w:pPr>
          </w:p>
        </w:tc>
        <w:tc>
          <w:tcPr>
            <w:tcW w:w="900" w:type="dxa"/>
            <w:vAlign w:val="bottom"/>
            <w:tcBorders>
              <w:bottom w:val="single" w:sz="8" w:color="auto"/>
            </w:tcBorders>
          </w:tcPr>
          <w:p>
            <w:pPr>
              <w:jc w:val="center"/>
              <w:spacing w:after="0" w:line="245" w:lineRule="exact"/>
              <w:rPr>
                <w:sz w:val="20"/>
                <w:szCs w:val="20"/>
                <w:color w:val="auto"/>
              </w:rPr>
            </w:pPr>
            <w:r>
              <w:rPr>
                <w:rFonts w:ascii="Times New Roman" w:cs="Times New Roman" w:eastAsia="Times New Roman" w:hAnsi="Times New Roman"/>
                <w:sz w:val="28"/>
                <w:szCs w:val="28"/>
                <w:b w:val="1"/>
                <w:bCs w:val="1"/>
                <w:color w:val="auto"/>
                <w:w w:val="84"/>
                <w:vertAlign w:val="subscript"/>
              </w:rPr>
              <w:t>PEO ($)</w:t>
            </w:r>
            <w:r>
              <w:rPr>
                <w:rFonts w:ascii="Times New Roman" w:cs="Times New Roman" w:eastAsia="Times New Roman" w:hAnsi="Times New Roman"/>
                <w:sz w:val="12"/>
                <w:szCs w:val="12"/>
                <w:b w:val="1"/>
                <w:bCs w:val="1"/>
                <w:color w:val="auto"/>
                <w:w w:val="84"/>
              </w:rPr>
              <w:t>(1)(2)</w:t>
            </w:r>
          </w:p>
        </w:tc>
        <w:tc>
          <w:tcPr>
            <w:tcW w:w="200" w:type="dxa"/>
            <w:vAlign w:val="bottom"/>
          </w:tcPr>
          <w:p>
            <w:pPr>
              <w:spacing w:after="0"/>
              <w:rPr>
                <w:sz w:val="21"/>
                <w:szCs w:val="21"/>
                <w:color w:val="auto"/>
              </w:rPr>
            </w:pPr>
          </w:p>
        </w:tc>
        <w:tc>
          <w:tcPr>
            <w:tcW w:w="1000" w:type="dxa"/>
            <w:vAlign w:val="bottom"/>
            <w:tcBorders>
              <w:bottom w:val="single" w:sz="8" w:color="auto"/>
            </w:tcBorders>
          </w:tcPr>
          <w:p>
            <w:pPr>
              <w:jc w:val="center"/>
              <w:spacing w:after="0" w:line="245" w:lineRule="exact"/>
              <w:rPr>
                <w:sz w:val="20"/>
                <w:szCs w:val="20"/>
                <w:color w:val="auto"/>
              </w:rPr>
            </w:pPr>
            <w:r>
              <w:rPr>
                <w:rFonts w:ascii="Times New Roman" w:cs="Times New Roman" w:eastAsia="Times New Roman" w:hAnsi="Times New Roman"/>
                <w:sz w:val="28"/>
                <w:szCs w:val="28"/>
                <w:b w:val="1"/>
                <w:bCs w:val="1"/>
                <w:color w:val="auto"/>
                <w:w w:val="84"/>
                <w:vertAlign w:val="subscript"/>
              </w:rPr>
              <w:t>PEO ($)</w:t>
            </w:r>
            <w:r>
              <w:rPr>
                <w:rFonts w:ascii="Times New Roman" w:cs="Times New Roman" w:eastAsia="Times New Roman" w:hAnsi="Times New Roman"/>
                <w:sz w:val="12"/>
                <w:szCs w:val="12"/>
                <w:b w:val="1"/>
                <w:bCs w:val="1"/>
                <w:color w:val="auto"/>
                <w:w w:val="84"/>
              </w:rPr>
              <w:t>(1)(3)</w:t>
            </w:r>
          </w:p>
        </w:tc>
        <w:tc>
          <w:tcPr>
            <w:tcW w:w="180" w:type="dxa"/>
            <w:vAlign w:val="bottom"/>
          </w:tcPr>
          <w:p>
            <w:pPr>
              <w:spacing w:after="0"/>
              <w:rPr>
                <w:sz w:val="21"/>
                <w:szCs w:val="21"/>
                <w:color w:val="auto"/>
              </w:rPr>
            </w:pPr>
          </w:p>
        </w:tc>
        <w:tc>
          <w:tcPr>
            <w:tcW w:w="1280" w:type="dxa"/>
            <w:vAlign w:val="bottom"/>
            <w:tcBorders>
              <w:bottom w:val="single" w:sz="8" w:color="auto"/>
            </w:tcBorders>
          </w:tcPr>
          <w:p>
            <w:pPr>
              <w:jc w:val="center"/>
              <w:spacing w:after="0" w:line="245" w:lineRule="exact"/>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12"/>
                <w:szCs w:val="12"/>
                <w:b w:val="1"/>
                <w:bCs w:val="1"/>
                <w:color w:val="auto"/>
                <w:w w:val="88"/>
              </w:rPr>
              <w:t>(1)(2)</w:t>
            </w:r>
          </w:p>
        </w:tc>
        <w:tc>
          <w:tcPr>
            <w:tcW w:w="180" w:type="dxa"/>
            <w:vAlign w:val="bottom"/>
          </w:tcPr>
          <w:p>
            <w:pPr>
              <w:spacing w:after="0"/>
              <w:rPr>
                <w:sz w:val="21"/>
                <w:szCs w:val="21"/>
                <w:color w:val="auto"/>
              </w:rPr>
            </w:pPr>
          </w:p>
        </w:tc>
        <w:tc>
          <w:tcPr>
            <w:tcW w:w="1020" w:type="dxa"/>
            <w:vAlign w:val="bottom"/>
            <w:tcBorders>
              <w:bottom w:val="single" w:sz="8" w:color="auto"/>
            </w:tcBorders>
          </w:tcPr>
          <w:p>
            <w:pPr>
              <w:jc w:val="center"/>
              <w:spacing w:after="0" w:line="245" w:lineRule="exact"/>
              <w:rPr>
                <w:sz w:val="20"/>
                <w:szCs w:val="20"/>
                <w:color w:val="auto"/>
              </w:rPr>
            </w:pPr>
            <w:r>
              <w:rPr>
                <w:rFonts w:ascii="Times New Roman" w:cs="Times New Roman" w:eastAsia="Times New Roman" w:hAnsi="Times New Roman"/>
                <w:sz w:val="28"/>
                <w:szCs w:val="28"/>
                <w:b w:val="1"/>
                <w:bCs w:val="1"/>
                <w:color w:val="auto"/>
                <w:w w:val="92"/>
                <w:vertAlign w:val="subscript"/>
              </w:rPr>
              <w:t>($)</w:t>
            </w:r>
            <w:r>
              <w:rPr>
                <w:rFonts w:ascii="Times New Roman" w:cs="Times New Roman" w:eastAsia="Times New Roman" w:hAnsi="Times New Roman"/>
                <w:sz w:val="12"/>
                <w:szCs w:val="12"/>
                <w:b w:val="1"/>
                <w:bCs w:val="1"/>
                <w:color w:val="auto"/>
                <w:w w:val="92"/>
              </w:rPr>
              <w:t>(1)(3)</w:t>
            </w:r>
          </w:p>
        </w:tc>
        <w:tc>
          <w:tcPr>
            <w:tcW w:w="180" w:type="dxa"/>
            <w:vAlign w:val="bottom"/>
          </w:tcPr>
          <w:p>
            <w:pPr>
              <w:spacing w:after="0"/>
              <w:rPr>
                <w:sz w:val="21"/>
                <w:szCs w:val="21"/>
                <w:color w:val="auto"/>
              </w:rPr>
            </w:pPr>
          </w:p>
        </w:tc>
        <w:tc>
          <w:tcPr>
            <w:tcW w:w="1100" w:type="dxa"/>
            <w:vAlign w:val="bottom"/>
            <w:tcBorders>
              <w:bottom w:val="single" w:sz="8" w:color="auto"/>
            </w:tcBorders>
          </w:tcPr>
          <w:p>
            <w:pPr>
              <w:jc w:val="center"/>
              <w:spacing w:after="0" w:line="245"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(4)</w:t>
            </w:r>
          </w:p>
        </w:tc>
        <w:tc>
          <w:tcPr>
            <w:tcW w:w="180" w:type="dxa"/>
            <w:vAlign w:val="bottom"/>
          </w:tcPr>
          <w:p>
            <w:pPr>
              <w:spacing w:after="0"/>
              <w:rPr>
                <w:sz w:val="21"/>
                <w:szCs w:val="21"/>
                <w:color w:val="auto"/>
              </w:rPr>
            </w:pPr>
          </w:p>
        </w:tc>
        <w:tc>
          <w:tcPr>
            <w:tcW w:w="116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8"/>
              </w:rPr>
              <w:t>($ Million)</w:t>
            </w:r>
            <w:r>
              <w:rPr>
                <w:rFonts w:ascii="Times New Roman" w:cs="Times New Roman" w:eastAsia="Times New Roman" w:hAnsi="Times New Roman"/>
                <w:sz w:val="23"/>
                <w:szCs w:val="23"/>
                <w:b w:val="1"/>
                <w:bCs w:val="1"/>
                <w:color w:val="auto"/>
                <w:w w:val="98"/>
                <w:vertAlign w:val="superscript"/>
              </w:rPr>
              <w:t>(5)</w:t>
            </w:r>
          </w:p>
        </w:tc>
        <w:tc>
          <w:tcPr>
            <w:tcW w:w="0" w:type="dxa"/>
            <w:vAlign w:val="bottom"/>
          </w:tcPr>
          <w:p>
            <w:pPr>
              <w:spacing w:after="0"/>
              <w:rPr>
                <w:sz w:val="1"/>
                <w:szCs w:val="1"/>
                <w:color w:val="auto"/>
              </w:rPr>
            </w:pPr>
          </w:p>
        </w:tc>
      </w:tr>
      <w:tr>
        <w:trPr>
          <w:trHeight w:val="250"/>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3,579,202</w:t>
            </w:r>
          </w:p>
        </w:tc>
        <w:tc>
          <w:tcPr>
            <w:tcW w:w="120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5,078,233</w:t>
            </w:r>
          </w:p>
        </w:tc>
        <w:tc>
          <w:tcPr>
            <w:tcW w:w="14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1,360,163</w:t>
            </w:r>
          </w:p>
        </w:tc>
        <w:tc>
          <w:tcPr>
            <w:tcW w:w="12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1,725,415</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20.06</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(206.7)</w:t>
            </w: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3,672,746</w:t>
            </w:r>
          </w:p>
        </w:tc>
        <w:tc>
          <w:tcPr>
            <w:tcW w:w="12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4,367,052</w:t>
            </w:r>
          </w:p>
        </w:tc>
        <w:tc>
          <w:tcPr>
            <w:tcW w:w="14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1,564,076</w:t>
            </w:r>
          </w:p>
        </w:tc>
        <w:tc>
          <w:tcPr>
            <w:tcW w:w="12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1,812,051</w:t>
            </w:r>
          </w:p>
        </w:tc>
        <w:tc>
          <w:tcPr>
            <w:tcW w:w="1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20.50</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(138.2)</w:t>
            </w:r>
          </w:p>
        </w:tc>
        <w:tc>
          <w:tcPr>
            <w:tcW w:w="0" w:type="dxa"/>
            <w:vAlign w:val="bottom"/>
          </w:tcPr>
          <w:p>
            <w:pPr>
              <w:spacing w:after="0"/>
              <w:rPr>
                <w:sz w:val="1"/>
                <w:szCs w:val="1"/>
                <w:color w:val="auto"/>
              </w:rPr>
            </w:pPr>
          </w:p>
        </w:tc>
      </w:tr>
      <w:tr>
        <w:trPr>
          <w:trHeight w:val="234"/>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2,453,184</w:t>
            </w:r>
          </w:p>
        </w:tc>
        <w:tc>
          <w:tcPr>
            <w:tcW w:w="120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1,202,088</w:t>
            </w:r>
          </w:p>
        </w:tc>
        <w:tc>
          <w:tcPr>
            <w:tcW w:w="14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1,484,344</w:t>
            </w:r>
          </w:p>
        </w:tc>
        <w:tc>
          <w:tcPr>
            <w:tcW w:w="12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1,064,962</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18.14</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(134.2)</w:t>
            </w:r>
          </w:p>
        </w:tc>
        <w:tc>
          <w:tcPr>
            <w:tcW w:w="0" w:type="dxa"/>
            <w:vAlign w:val="bottom"/>
          </w:tcPr>
          <w:p>
            <w:pPr>
              <w:spacing w:after="0"/>
              <w:rPr>
                <w:sz w:val="1"/>
                <w:szCs w:val="1"/>
                <w:color w:val="auto"/>
              </w:rPr>
            </w:pPr>
          </w:p>
        </w:tc>
      </w:tr>
      <w:tr>
        <w:trPr>
          <w:trHeight w:val="54"/>
        </w:trPr>
        <w:tc>
          <w:tcPr>
            <w:tcW w:w="8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individuals are our PEO and other non-PEO NEOs for each fiscal year:</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w:t>
            </w:r>
          </w:p>
        </w:tc>
        <w:tc>
          <w:tcPr>
            <w:tcW w:w="860" w:type="dxa"/>
            <w:vAlign w:val="bottom"/>
          </w:tcPr>
          <w:p>
            <w:pPr>
              <w:spacing w:after="0"/>
              <w:rPr>
                <w:sz w:val="16"/>
                <w:szCs w:val="16"/>
                <w:color w:val="auto"/>
              </w:rPr>
            </w:pPr>
          </w:p>
        </w:tc>
        <w:tc>
          <w:tcPr>
            <w:tcW w:w="20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23"/>
        </w:trPr>
        <w:tc>
          <w:tcPr>
            <w:tcW w:w="346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86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Douglas</w:t>
            </w:r>
          </w:p>
        </w:tc>
        <w:tc>
          <w:tcPr>
            <w:tcW w:w="292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Ted Yednock and Jennifer Lew</w:t>
            </w:r>
          </w:p>
        </w:tc>
        <w:tc>
          <w:tcPr>
            <w:tcW w:w="0" w:type="dxa"/>
            <w:vAlign w:val="bottom"/>
          </w:tcPr>
          <w:p>
            <w:pPr>
              <w:spacing w:after="0"/>
              <w:rPr>
                <w:sz w:val="1"/>
                <w:szCs w:val="1"/>
                <w:color w:val="auto"/>
              </w:rPr>
            </w:pPr>
          </w:p>
        </w:tc>
      </w:tr>
      <w:tr>
        <w:trPr>
          <w:trHeight w:val="198"/>
        </w:trPr>
        <w:tc>
          <w:tcPr>
            <w:tcW w:w="346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Love</w:t>
            </w:r>
          </w:p>
        </w:tc>
        <w:tc>
          <w:tcPr>
            <w:tcW w:w="2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2024</w:t>
            </w:r>
          </w:p>
        </w:tc>
        <w:tc>
          <w:tcPr>
            <w:tcW w:w="860" w:type="dxa"/>
            <w:vAlign w:val="bottom"/>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Douglas</w:t>
            </w:r>
          </w:p>
        </w:tc>
        <w:tc>
          <w:tcPr>
            <w:tcW w:w="29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Jamie Dananberg and Ted Yednock</w:t>
            </w:r>
          </w:p>
        </w:tc>
        <w:tc>
          <w:tcPr>
            <w:tcW w:w="0" w:type="dxa"/>
            <w:vAlign w:val="bottom"/>
          </w:tcPr>
          <w:p>
            <w:pPr>
              <w:spacing w:after="0"/>
              <w:rPr>
                <w:sz w:val="1"/>
                <w:szCs w:val="1"/>
                <w:color w:val="auto"/>
              </w:rPr>
            </w:pPr>
          </w:p>
        </w:tc>
      </w:tr>
      <w:tr>
        <w:trPr>
          <w:trHeight w:val="193"/>
        </w:trPr>
        <w:tc>
          <w:tcPr>
            <w:tcW w:w="34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Love</w:t>
            </w:r>
          </w:p>
        </w:tc>
        <w:tc>
          <w:tcPr>
            <w:tcW w:w="2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86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Douglas</w:t>
            </w:r>
          </w:p>
        </w:tc>
        <w:tc>
          <w:tcPr>
            <w:tcW w:w="292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Ted Yednock and Rick Artis</w:t>
            </w:r>
          </w:p>
        </w:tc>
        <w:tc>
          <w:tcPr>
            <w:tcW w:w="0" w:type="dxa"/>
            <w:vAlign w:val="bottom"/>
          </w:tcPr>
          <w:p>
            <w:pPr>
              <w:spacing w:after="0"/>
              <w:rPr>
                <w:sz w:val="1"/>
                <w:szCs w:val="1"/>
                <w:color w:val="auto"/>
              </w:rPr>
            </w:pPr>
          </w:p>
        </w:tc>
      </w:tr>
      <w:tr>
        <w:trPr>
          <w:trHeight w:val="171"/>
        </w:trPr>
        <w:tc>
          <w:tcPr>
            <w:tcW w:w="3460" w:type="dxa"/>
            <w:vAlign w:val="bottom"/>
            <w:vMerge w:val="continue"/>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Love</w:t>
            </w:r>
          </w:p>
        </w:tc>
        <w:tc>
          <w:tcPr>
            <w:tcW w:w="2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20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146050</wp:posOffset>
            </wp:positionV>
            <wp:extent cx="822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right="41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of total compensation reported for Douglas Love (our Chief Executive Officer) and the average total compensation for our non-PEO NEOs for each corresponding year in the “Total” column of the Summary Compensation Table. Refer to “Executive Compensation-Summary Compensation Table.”</w:t>
      </w:r>
    </w:p>
    <w:p>
      <w:pPr>
        <w:spacing w:after="0" w:line="14" w:lineRule="exact"/>
        <w:rPr>
          <w:rFonts w:ascii="Times New Roman" w:cs="Times New Roman" w:eastAsia="Times New Roman" w:hAnsi="Times New Roman"/>
          <w:sz w:val="14"/>
          <w:szCs w:val="14"/>
          <w:color w:val="auto"/>
        </w:rPr>
      </w:pPr>
    </w:p>
    <w:p>
      <w:pPr>
        <w:ind w:left="640" w:right="399" w:hanging="348"/>
        <w:spacing w:after="0" w:line="236"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of CAP to Douglas Love and the average amount of CAP to our Non-PEO NEOs, respectively, as computed in accordance with Item 402(v) of Regulation S-K. The dollar amounts do not reflect the actual amount of compensation earned by or paid to our NEOs during the applicable year. In accordance with the requirements of Item 402(v) of Regulation S-K, the following adjustments were made to the reported total compensation for each year to determine the CAP:</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64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6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PEO</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PEO</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Total Compensation as reported on the 2025</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2,453,184</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1,484,344</w:t>
            </w:r>
          </w:p>
        </w:tc>
        <w:tc>
          <w:tcPr>
            <w:tcW w:w="8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3,672,746</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1,564,076</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3,579,202</w:t>
            </w:r>
          </w:p>
        </w:tc>
        <w:tc>
          <w:tcPr>
            <w:tcW w:w="84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1,360,163</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Summary Compensation Table (“SCT”)</w:t>
            </w:r>
          </w:p>
        </w:tc>
        <w:tc>
          <w:tcPr>
            <w:tcW w:w="80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1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Less: Grant Date Fair Value of Equity Awards as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120" w:type="dxa"/>
            <w:vAlign w:val="bottom"/>
          </w:tcPr>
          <w:p>
            <w:pPr>
              <w:ind w:left="140"/>
              <w:spacing w:after="0" w:line="226" w:lineRule="exact"/>
              <w:rPr>
                <w:sz w:val="20"/>
                <w:szCs w:val="20"/>
                <w:color w:val="auto"/>
              </w:rPr>
            </w:pPr>
            <w:r>
              <w:rPr>
                <w:rFonts w:ascii="Times New Roman" w:cs="Times New Roman" w:eastAsia="Times New Roman" w:hAnsi="Times New Roman"/>
                <w:sz w:val="14"/>
                <w:szCs w:val="14"/>
                <w:color w:val="auto"/>
              </w:rPr>
              <w:t>reported in SCT</w:t>
            </w:r>
            <w:r>
              <w:rPr>
                <w:rFonts w:ascii="Times New Roman" w:cs="Times New Roman" w:eastAsia="Times New Roman" w:hAnsi="Times New Roman"/>
                <w:sz w:val="23"/>
                <w:szCs w:val="23"/>
                <w:color w:val="auto"/>
                <w:vertAlign w:val="superscript"/>
              </w:rPr>
              <w:t>(a)</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(1,473,062)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(736,774)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(2,661,939)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(849,126)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(2,522,260)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(641,258)</w:t>
            </w:r>
          </w:p>
        </w:tc>
        <w:tc>
          <w:tcPr>
            <w:tcW w:w="0" w:type="dxa"/>
            <w:vAlign w:val="bottom"/>
          </w:tcPr>
          <w:p>
            <w:pPr>
              <w:spacing w:after="0"/>
              <w:rPr>
                <w:sz w:val="1"/>
                <w:szCs w:val="1"/>
                <w:color w:val="auto"/>
              </w:rPr>
            </w:pPr>
          </w:p>
        </w:tc>
      </w:tr>
      <w:tr>
        <w:trPr>
          <w:trHeight w:val="151"/>
        </w:trPr>
        <w:tc>
          <w:tcPr>
            <w:tcW w:w="31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Add: Year-End Fair Value of unvested Equity Awards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120" w:type="dxa"/>
            <w:vAlign w:val="bottom"/>
            <w:shd w:val="clear" w:color="auto" w:fill="CCEEFF"/>
          </w:tcPr>
          <w:p>
            <w:pPr>
              <w:ind w:left="140"/>
              <w:spacing w:after="0" w:line="226" w:lineRule="exact"/>
              <w:rPr>
                <w:sz w:val="20"/>
                <w:szCs w:val="20"/>
                <w:color w:val="auto"/>
              </w:rPr>
            </w:pPr>
            <w:r>
              <w:rPr>
                <w:rFonts w:ascii="Times New Roman" w:cs="Times New Roman" w:eastAsia="Times New Roman" w:hAnsi="Times New Roman"/>
                <w:sz w:val="14"/>
                <w:szCs w:val="14"/>
                <w:color w:val="auto"/>
              </w:rPr>
              <w:t>Granted in the Year</w:t>
            </w:r>
            <w:r>
              <w:rPr>
                <w:rFonts w:ascii="Times New Roman" w:cs="Times New Roman" w:eastAsia="Times New Roman" w:hAnsi="Times New Roman"/>
                <w:sz w:val="23"/>
                <w:szCs w:val="23"/>
                <w:color w:val="auto"/>
                <w:vertAlign w:val="superscript"/>
              </w:rPr>
              <w:t>(b)</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846,371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450,472</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2,075,305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706,089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4,397,157</w:t>
            </w:r>
          </w:p>
        </w:tc>
        <w:tc>
          <w:tcPr>
            <w:tcW w:w="8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1,179,940</w:t>
            </w:r>
          </w:p>
        </w:tc>
        <w:tc>
          <w:tcPr>
            <w:tcW w:w="0" w:type="dxa"/>
            <w:vAlign w:val="bottom"/>
          </w:tcPr>
          <w:p>
            <w:pPr>
              <w:spacing w:after="0"/>
              <w:rPr>
                <w:sz w:val="1"/>
                <w:szCs w:val="1"/>
                <w:color w:val="auto"/>
              </w:rPr>
            </w:pPr>
          </w:p>
        </w:tc>
      </w:tr>
      <w:tr>
        <w:trPr>
          <w:trHeight w:val="151"/>
        </w:trPr>
        <w:tc>
          <w:tcPr>
            <w:tcW w:w="31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Add: Vesting date Fair Value of Awards Granted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120" w:type="dxa"/>
            <w:vAlign w:val="bottom"/>
          </w:tcPr>
          <w:p>
            <w:pPr>
              <w:ind w:left="140"/>
              <w:spacing w:after="0" w:line="226" w:lineRule="exact"/>
              <w:rPr>
                <w:sz w:val="20"/>
                <w:szCs w:val="20"/>
                <w:color w:val="auto"/>
              </w:rPr>
            </w:pPr>
            <w:r>
              <w:rPr>
                <w:rFonts w:ascii="Times New Roman" w:cs="Times New Roman" w:eastAsia="Times New Roman" w:hAnsi="Times New Roman"/>
                <w:sz w:val="14"/>
                <w:szCs w:val="14"/>
                <w:color w:val="auto"/>
              </w:rPr>
              <w:t>during the Year vested during the Year</w:t>
            </w:r>
            <w:r>
              <w:rPr>
                <w:rFonts w:ascii="Times New Roman" w:cs="Times New Roman" w:eastAsia="Times New Roman" w:hAnsi="Times New Roman"/>
                <w:sz w:val="23"/>
                <w:szCs w:val="23"/>
                <w:color w:val="auto"/>
                <w:vertAlign w:val="superscript"/>
              </w:rPr>
              <w:t>(b)</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166,151</w:t>
            </w: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18,553</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666,310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162,463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609,909</w:t>
            </w: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127,883</w:t>
            </w:r>
          </w:p>
        </w:tc>
        <w:tc>
          <w:tcPr>
            <w:tcW w:w="0" w:type="dxa"/>
            <w:vAlign w:val="bottom"/>
          </w:tcPr>
          <w:p>
            <w:pPr>
              <w:spacing w:after="0"/>
              <w:rPr>
                <w:sz w:val="1"/>
                <w:szCs w:val="1"/>
                <w:color w:val="auto"/>
              </w:rPr>
            </w:pPr>
          </w:p>
        </w:tc>
      </w:tr>
      <w:tr>
        <w:trPr>
          <w:trHeight w:val="139"/>
        </w:trPr>
        <w:tc>
          <w:tcPr>
            <w:tcW w:w="31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Add/(less): Year over Year Change in Fair Value of</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Outstanding and Unvested Equity Awards as of</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120" w:type="dxa"/>
            <w:vAlign w:val="bottom"/>
            <w:shd w:val="clear" w:color="auto" w:fill="CCEEFF"/>
          </w:tcPr>
          <w:p>
            <w:pPr>
              <w:ind w:left="140"/>
              <w:spacing w:after="0" w:line="226" w:lineRule="exact"/>
              <w:rPr>
                <w:sz w:val="20"/>
                <w:szCs w:val="20"/>
                <w:color w:val="auto"/>
              </w:rPr>
            </w:pPr>
            <w:r>
              <w:rPr>
                <w:rFonts w:ascii="Times New Roman" w:cs="Times New Roman" w:eastAsia="Times New Roman" w:hAnsi="Times New Roman"/>
                <w:sz w:val="14"/>
                <w:szCs w:val="14"/>
                <w:color w:val="auto"/>
              </w:rPr>
              <w:t>Year End</w:t>
            </w:r>
            <w:r>
              <w:rPr>
                <w:rFonts w:ascii="Times New Roman" w:cs="Times New Roman" w:eastAsia="Times New Roman" w:hAnsi="Times New Roman"/>
                <w:sz w:val="23"/>
                <w:szCs w:val="23"/>
                <w:color w:val="auto"/>
                <w:vertAlign w:val="superscript"/>
              </w:rPr>
              <w:t>(b)</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(412,800)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(76,252)</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201,334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85,217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(171,029)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(44,855)</w:t>
            </w:r>
          </w:p>
        </w:tc>
        <w:tc>
          <w:tcPr>
            <w:tcW w:w="0" w:type="dxa"/>
            <w:vAlign w:val="bottom"/>
          </w:tcPr>
          <w:p>
            <w:pPr>
              <w:spacing w:after="0"/>
              <w:rPr>
                <w:sz w:val="1"/>
                <w:szCs w:val="1"/>
                <w:color w:val="auto"/>
              </w:rPr>
            </w:pPr>
          </w:p>
        </w:tc>
      </w:tr>
      <w:tr>
        <w:trPr>
          <w:trHeight w:val="139"/>
        </w:trPr>
        <w:tc>
          <w:tcPr>
            <w:tcW w:w="31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Add/(less): Year over Year Change in Fair Value of</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Awards Granted in Prior Year vested in the</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(377,757)</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(75,382)</w:t>
            </w:r>
          </w:p>
        </w:tc>
        <w:tc>
          <w:tcPr>
            <w:tcW w:w="8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413,296</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143,332</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(814,746)</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(256,458)</w:t>
            </w:r>
          </w:p>
        </w:tc>
        <w:tc>
          <w:tcPr>
            <w:tcW w:w="0" w:type="dxa"/>
            <w:vAlign w:val="bottom"/>
          </w:tcPr>
          <w:p>
            <w:pPr>
              <w:spacing w:after="0"/>
              <w:rPr>
                <w:sz w:val="1"/>
                <w:szCs w:val="1"/>
                <w:color w:val="auto"/>
              </w:rPr>
            </w:pPr>
          </w:p>
        </w:tc>
      </w:tr>
      <w:tr>
        <w:trPr>
          <w:trHeight w:val="188"/>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Year(b)</w:t>
            </w:r>
          </w:p>
        </w:tc>
        <w:tc>
          <w:tcPr>
            <w:tcW w:w="8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 Change in Fair Value of Awards Granted during</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Prior Year that were Forfeited during the Year as of</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Prior Year End</w:t>
            </w: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tbl>
      <w:tblPr>
        <w:tblLayout w:type="fixed"/>
        <w:tblInd w:w="300" w:type="dxa"/>
        <w:tblCellMar>
          <w:top w:w="0" w:type="dxa"/>
          <w:left w:w="0" w:type="dxa"/>
          <w:bottom w:w="0" w:type="dxa"/>
          <w:right w:w="0" w:type="dxa"/>
        </w:tblCellMar>
      </w:tblPr>
      <w:tr>
        <w:trPr>
          <w:trHeight w:val="161"/>
        </w:trPr>
        <w:tc>
          <w:tcPr>
            <w:tcW w:w="3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6"/>
        </w:trPr>
        <w:tc>
          <w:tcPr>
            <w:tcW w:w="36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1560" w:type="dxa"/>
            <w:vAlign w:val="bottom"/>
            <w:gridSpan w:val="6"/>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1540" w:type="dxa"/>
            <w:vAlign w:val="bottom"/>
            <w:gridSpan w:val="7"/>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4"/>
                <w:szCs w:val="24"/>
                <w:color w:val="auto"/>
              </w:rPr>
            </w:pPr>
          </w:p>
        </w:tc>
        <w:tc>
          <w:tcPr>
            <w:tcW w:w="1520" w:type="dxa"/>
            <w:vAlign w:val="bottom"/>
            <w:gridSpan w:val="7"/>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PEO</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PEO</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20" w:type="dxa"/>
            <w:vAlign w:val="bottom"/>
            <w:gridSpan w:val="4"/>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40" w:type="dxa"/>
            <w:vAlign w:val="bottom"/>
            <w:gridSpan w:val="4"/>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40" w:type="dxa"/>
            <w:vAlign w:val="bottom"/>
            <w:gridSpan w:val="4"/>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60" w:type="dxa"/>
            <w:vAlign w:val="bottom"/>
          </w:tcPr>
          <w:p>
            <w:pPr>
              <w:spacing w:after="0"/>
              <w:rPr>
                <w:sz w:val="12"/>
                <w:szCs w:val="12"/>
                <w:color w:val="auto"/>
              </w:rPr>
            </w:pPr>
          </w:p>
        </w:tc>
        <w:tc>
          <w:tcPr>
            <w:tcW w:w="32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Add: Change in Fair Value of Option awards or Stock</w:t>
            </w:r>
          </w:p>
        </w:tc>
        <w:tc>
          <w:tcPr>
            <w:tcW w:w="1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3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Awards modified during the Year</w:t>
            </w:r>
          </w:p>
        </w:tc>
        <w:tc>
          <w:tcPr>
            <w:tcW w:w="14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Adjustments</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(1,251,096)</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(419,382)</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694,306</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247,975</w:t>
            </w:r>
          </w:p>
        </w:tc>
        <w:tc>
          <w:tcPr>
            <w:tcW w:w="60" w:type="dxa"/>
            <w:vAlign w:val="bottom"/>
          </w:tcPr>
          <w:p>
            <w:pPr>
              <w:spacing w:after="0"/>
              <w:rPr>
                <w:sz w:val="16"/>
                <w:szCs w:val="16"/>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1,499,031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365,252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1,202,088</w:t>
            </w: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1,064,962</w:t>
            </w:r>
          </w:p>
        </w:tc>
        <w:tc>
          <w:tcPr>
            <w:tcW w:w="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4,367,052</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1,812,051</w:t>
            </w:r>
          </w:p>
        </w:tc>
        <w:tc>
          <w:tcPr>
            <w:tcW w:w="60" w:type="dxa"/>
            <w:vAlign w:val="bottom"/>
            <w:shd w:val="clear" w:color="auto" w:fill="CCEEFF"/>
          </w:tcPr>
          <w:p>
            <w:pPr>
              <w:spacing w:after="0"/>
              <w:rPr>
                <w:sz w:val="15"/>
                <w:szCs w:val="15"/>
                <w:color w:val="auto"/>
              </w:rPr>
            </w:pPr>
          </w:p>
        </w:tc>
        <w:tc>
          <w:tcPr>
            <w:tcW w:w="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5,078,233</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1,725,415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188595</wp:posOffset>
            </wp:positionV>
            <wp:extent cx="822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1000" w:right="859" w:hanging="348"/>
        <w:spacing w:after="0" w:line="261" w:lineRule="auto"/>
        <w:tabs>
          <w:tab w:leader="none" w:pos="10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reflect the aggregate grant-date fair value reported in the “Stock Awards” and “Option Awards” columns in the Summary Compensation Table for the applicable fiscal year.</w:t>
      </w:r>
    </w:p>
    <w:p>
      <w:pPr>
        <w:ind w:left="1000" w:right="339" w:hanging="348"/>
        <w:spacing w:after="0" w:line="231" w:lineRule="auto"/>
        <w:tabs>
          <w:tab w:leader="none" w:pos="10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values of stock options included in the CAP to our PEO and the Average CAP to our NEOs are calculated at the required measurement dates, consistent with the approach used to value the awards at the grant date as described in our Annual Report on Form 10-K for the year ended December 31, 2025. Changes to the stock option fair values are based on the updated stock price at the respective measurement dates, in addition to updated expected option term, implied volatility of our stock over the updated expected option term, and risk-free rate assumptions. For all years presented, the meaningful increases or decreases in the year-end stock option fair value from the fair value on the grant date were primarily driven by changes in the stock price.</w:t>
      </w:r>
    </w:p>
    <w:p>
      <w:pPr>
        <w:spacing w:after="0" w:line="15" w:lineRule="exact"/>
        <w:rPr>
          <w:rFonts w:ascii="Times New Roman" w:cs="Times New Roman" w:eastAsia="Times New Roman" w:hAnsi="Times New Roman"/>
          <w:sz w:val="14"/>
          <w:szCs w:val="14"/>
          <w:color w:val="auto"/>
        </w:rPr>
      </w:pPr>
    </w:p>
    <w:p>
      <w:pPr>
        <w:ind w:left="640" w:right="57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reflect the cumulative total shareholder return of our common stock at the end of each fiscal year. In each case, assume an initial investment of $100 on December 31, 2022.</w:t>
      </w: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net income reflected in the Company’s audited financial statements for the applicable year.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Required Disclosure of the Relationship Between Compensation Actually Paid and Financial Performance Measures</w:t>
      </w:r>
    </w:p>
    <w:p>
      <w:pPr>
        <w:spacing w:after="0" w:line="51" w:lineRule="exact"/>
        <w:rPr>
          <w:sz w:val="20"/>
          <w:szCs w:val="20"/>
          <w:color w:val="auto"/>
        </w:rPr>
      </w:pPr>
    </w:p>
    <w:p>
      <w:pPr>
        <w:jc w:val="both"/>
        <w:ind w:left="300" w:right="439"/>
        <w:spacing w:after="0" w:line="258"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graphs to illustrate the relationship between the pay and performance figures that are included in the pay versus performance tabular disclosure above. As noted above, “compensation actually paid” for purposes of the tabular disclosure and the following graphs were calculated in accordance with SEC rules and do not fully represent the actual final amount of compensation earned by or actually paid to our NEOs during the applicable years.</w:t>
      </w:r>
    </w:p>
    <w:p>
      <w:pPr>
        <w:spacing w:after="0" w:line="75"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The graphs below compare the compensation actually paid to our PEO and the average of the compensation actually paid to our non-PEO NEOs, with (i) our cumulative TSR and (ii) our net income, in each case, for the three fiscal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157480</wp:posOffset>
            </wp:positionV>
            <wp:extent cx="4071620" cy="1577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7162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188595</wp:posOffset>
            </wp:positionV>
            <wp:extent cx="4071620" cy="1602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71620"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All information provided above under the “Item 402(v) Pay Versus Performance” heading will not be deemed to be incorporated by reference into any filing of the Company under the Securities Act of 1933, as amended (the “Securities Act”), or the Exchange Act, whether made before or after the date hereof and irrespective of any general incorporation language in any such filing, except to the extent the Company specifically incorporates such information by reference.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December 31, 2025:</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4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4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4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4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4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90"/>
        </w:trPr>
        <w:tc>
          <w:tcPr>
            <w:tcW w:w="3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4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4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 (c)</w:t>
            </w:r>
          </w:p>
        </w:tc>
        <w:tc>
          <w:tcPr>
            <w:tcW w:w="0" w:type="dxa"/>
            <w:vAlign w:val="bottom"/>
          </w:tcPr>
          <w:p>
            <w:pPr>
              <w:spacing w:after="0"/>
              <w:rPr>
                <w:sz w:val="1"/>
                <w:szCs w:val="1"/>
                <w:color w:val="auto"/>
              </w:rPr>
            </w:pPr>
          </w:p>
        </w:tc>
      </w:tr>
      <w:tr>
        <w:trPr>
          <w:trHeight w:val="23"/>
        </w:trPr>
        <w:tc>
          <w:tcPr>
            <w:tcW w:w="38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388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9"/>
                <w:szCs w:val="29"/>
                <w:color w:val="auto"/>
                <w:vertAlign w:val="superscript"/>
              </w:rPr>
              <w:t>(1)</w:t>
            </w:r>
          </w:p>
        </w:tc>
        <w:tc>
          <w:tcPr>
            <w:tcW w:w="1560" w:type="dxa"/>
            <w:vAlign w:val="bottom"/>
            <w:gridSpan w:val="2"/>
            <w:shd w:val="clear" w:color="auto" w:fill="CCEEFF"/>
          </w:tcPr>
          <w:p>
            <w:pPr>
              <w:ind w:left="580"/>
              <w:spacing w:after="0" w:line="284" w:lineRule="exact"/>
              <w:rPr>
                <w:sz w:val="20"/>
                <w:szCs w:val="20"/>
                <w:color w:val="auto"/>
              </w:rPr>
            </w:pPr>
            <w:r>
              <w:rPr>
                <w:rFonts w:ascii="Times New Roman" w:cs="Times New Roman" w:eastAsia="Times New Roman" w:hAnsi="Times New Roman"/>
                <w:sz w:val="18"/>
                <w:szCs w:val="18"/>
                <w:color w:val="auto"/>
                <w:w w:val="92"/>
              </w:rPr>
              <w:t>15,759,423</w:t>
            </w:r>
            <w:r>
              <w:rPr>
                <w:rFonts w:ascii="Times New Roman" w:cs="Times New Roman" w:eastAsia="Times New Roman" w:hAnsi="Times New Roman"/>
                <w:sz w:val="29"/>
                <w:szCs w:val="29"/>
                <w:color w:val="auto"/>
                <w:w w:val="92"/>
                <w:vertAlign w:val="superscript"/>
              </w:rPr>
              <w:t>(3)</w:t>
            </w:r>
          </w:p>
        </w:tc>
        <w:tc>
          <w:tcPr>
            <w:tcW w:w="1180" w:type="dxa"/>
            <w:vAlign w:val="bottom"/>
            <w:gridSpan w:val="2"/>
            <w:shd w:val="clear" w:color="auto" w:fill="CCEEFF"/>
          </w:tcPr>
          <w:p>
            <w:pPr>
              <w:ind w:left="640"/>
              <w:spacing w:after="0" w:line="284" w:lineRule="exact"/>
              <w:rPr>
                <w:sz w:val="20"/>
                <w:szCs w:val="20"/>
                <w:color w:val="auto"/>
              </w:rPr>
            </w:pPr>
            <w:r>
              <w:rPr>
                <w:rFonts w:ascii="Times New Roman" w:cs="Times New Roman" w:eastAsia="Times New Roman" w:hAnsi="Times New Roman"/>
                <w:sz w:val="18"/>
                <w:szCs w:val="18"/>
                <w:color w:val="auto"/>
                <w:w w:val="96"/>
              </w:rPr>
              <w:t>7.14</w:t>
            </w:r>
            <w:r>
              <w:rPr>
                <w:rFonts w:ascii="Times New Roman" w:cs="Times New Roman" w:eastAsia="Times New Roman" w:hAnsi="Times New Roman"/>
                <w:sz w:val="29"/>
                <w:szCs w:val="29"/>
                <w:color w:val="auto"/>
                <w:w w:val="96"/>
                <w:vertAlign w:val="superscript"/>
              </w:rPr>
              <w:t>(4)</w:t>
            </w:r>
          </w:p>
        </w:tc>
        <w:tc>
          <w:tcPr>
            <w:tcW w:w="1800" w:type="dxa"/>
            <w:vAlign w:val="bottom"/>
            <w:gridSpan w:val="2"/>
            <w:shd w:val="clear" w:color="auto" w:fill="CCEEFF"/>
          </w:tcPr>
          <w:p>
            <w:pPr>
              <w:ind w:left="740"/>
              <w:spacing w:after="0" w:line="284" w:lineRule="exact"/>
              <w:rPr>
                <w:sz w:val="20"/>
                <w:szCs w:val="20"/>
                <w:color w:val="auto"/>
              </w:rPr>
            </w:pPr>
            <w:r>
              <w:rPr>
                <w:rFonts w:ascii="Times New Roman" w:cs="Times New Roman" w:eastAsia="Times New Roman" w:hAnsi="Times New Roman"/>
                <w:sz w:val="18"/>
                <w:szCs w:val="18"/>
                <w:color w:val="auto"/>
              </w:rPr>
              <w:t>3,985,427</w:t>
            </w:r>
            <w:r>
              <w:rPr>
                <w:rFonts w:ascii="Times New Roman" w:cs="Times New Roman" w:eastAsia="Times New Roman" w:hAnsi="Times New Roman"/>
                <w:sz w:val="29"/>
                <w:szCs w:val="29"/>
                <w:color w:val="auto"/>
                <w:vertAlign w:val="superscript"/>
              </w:rPr>
              <w:t>(5)</w:t>
            </w: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388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9"/>
                <w:szCs w:val="29"/>
                <w:color w:val="auto"/>
                <w:vertAlign w:val="superscript"/>
              </w:rPr>
              <w:t>(2)</w:t>
            </w:r>
          </w:p>
        </w:tc>
        <w:tc>
          <w:tcPr>
            <w:tcW w:w="15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4,138,749</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5.09</w:t>
            </w:r>
          </w:p>
        </w:tc>
        <w:tc>
          <w:tcPr>
            <w:tcW w:w="18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3,585,343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19,898,172</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6.69</w:t>
            </w:r>
          </w:p>
        </w:tc>
        <w:tc>
          <w:tcPr>
            <w:tcW w:w="18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7,571,220</w:t>
            </w:r>
          </w:p>
        </w:tc>
        <w:tc>
          <w:tcPr>
            <w:tcW w:w="0" w:type="dxa"/>
            <w:vAlign w:val="bottom"/>
          </w:tcPr>
          <w:p>
            <w:pPr>
              <w:spacing w:after="0"/>
              <w:rPr>
                <w:sz w:val="1"/>
                <w:szCs w:val="1"/>
                <w:color w:val="auto"/>
              </w:rPr>
            </w:pPr>
          </w:p>
        </w:tc>
      </w:tr>
      <w:tr>
        <w:trPr>
          <w:trHeight w:val="54"/>
        </w:trPr>
        <w:tc>
          <w:tcPr>
            <w:tcW w:w="38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hanging="348"/>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2011 Equity Incentive Plan (the “2011 Plan”), the 2020 Plan, and the ESPP.</w:t>
      </w:r>
    </w:p>
    <w:p>
      <w:pPr>
        <w:spacing w:after="0" w:line="41" w:lineRule="exact"/>
        <w:rPr>
          <w:rFonts w:ascii="Times New Roman" w:cs="Times New Roman" w:eastAsia="Times New Roman" w:hAnsi="Times New Roman"/>
          <w:sz w:val="14"/>
          <w:szCs w:val="14"/>
          <w:color w:val="auto"/>
        </w:rPr>
      </w:pPr>
    </w:p>
    <w:p>
      <w:pPr>
        <w:ind w:left="640" w:right="519" w:hanging="348"/>
        <w:spacing w:after="0" w:line="233"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2022 Inducement Plan. The 2022 Inducement Plan was adopted by the Board without stockholder approval pursuant to Nasdaq Marketplace Rule 5635(c)(4), or Rule 5635(c)(4). In accordance with Rule 5635(c)(4), awards made under the 2022 Inducement Plan may only be granted to newly hired employees as an inducement material to the employees entering into employment with the Company. Awards granted under the 2022 Inducement Plan expire no later than ten years from the date of grant. An aggregate of 7,850,000 shares of common stock have been reserved for issuance under the 2022 Inducement Plan.</w:t>
      </w:r>
    </w:p>
    <w:p>
      <w:pPr>
        <w:spacing w:after="0" w:line="15" w:lineRule="exact"/>
        <w:rPr>
          <w:rFonts w:ascii="Times New Roman" w:cs="Times New Roman" w:eastAsia="Times New Roman" w:hAnsi="Times New Roman"/>
          <w:sz w:val="14"/>
          <w:szCs w:val="14"/>
          <w:color w:val="auto"/>
        </w:rPr>
      </w:pPr>
    </w:p>
    <w:p>
      <w:pPr>
        <w:ind w:left="640" w:right="539" w:hanging="348"/>
        <w:spacing w:after="0" w:line="233"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1,760,799 shares of common stock underlying outstanding options under the 2011 Plan, 12,745,777 shares of common stock underlying outstanding options under the 2020 Plan, and 1,252,847 shares of common stock underlying unvested RSUs under the 2020 Plan. Does not include approximately 20,014 shares that may be issued with respect to the purchase period in effect as of December 31, 2025 under the ESPP, which purchase period ends on May 15, 2026, based on enrollment as of December 31, 2025 and assuming a purchase price of $5,54 (which was the closing price of our common stock as of March 31, 2026).</w:t>
      </w:r>
    </w:p>
    <w:p>
      <w:pPr>
        <w:spacing w:after="0" w:line="15" w:lineRule="exact"/>
        <w:rPr>
          <w:rFonts w:ascii="Times New Roman" w:cs="Times New Roman" w:eastAsia="Times New Roman" w:hAnsi="Times New Roman"/>
          <w:sz w:val="14"/>
          <w:szCs w:val="14"/>
          <w:color w:val="auto"/>
        </w:rPr>
      </w:pPr>
    </w:p>
    <w:p>
      <w:pPr>
        <w:ind w:left="640" w:right="379" w:hanging="348"/>
        <w:spacing w:after="0" w:line="26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weighted-average exercise price of outstanding options. Because RSUs do not have an exercise price, the weighted-average exercise price does not take into account outstanding RSUs.</w:t>
      </w:r>
    </w:p>
    <w:p>
      <w:pPr>
        <w:ind w:left="640" w:right="319" w:hanging="348"/>
        <w:spacing w:after="0" w:line="24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1,184,877 shares of common stock available for issuance under the 2020 Plan, and 2,800,550 shares available for issuance under the ESPP as of December 31, 2025. In connection with the effectiveness of the 2020 Plan in July 2020, no further grants are made under the 2011 Plan.</w:t>
      </w:r>
    </w:p>
    <w:p>
      <w:pPr>
        <w:spacing w:after="0" w:line="73"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number of shares of common stock reserved for issuance pursuant to equity awards under the 2020 Plan will automatically increase January 1 of each year for a period of up to ten years, commencing on January 1, 2021 and continuing through and including January 1, 2030 by the lesser of (i) the amount equal to 4% of the number of shares issued and outstanding on December 31 immediately prior to the date of increase or (ii) such lower number of shares as may be determined by the Board, provided that no more than 21,605,212 shares may be issued pursuant to the exercise of incentive stock options.</w:t>
      </w:r>
    </w:p>
    <w:p>
      <w:pPr>
        <w:spacing w:after="0" w:line="79"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reserved for issuance under the ESPP will increase January 1 of each year for a period of up to ten years commencing January 1, 2021 and continuing through and including January 1, 2030 by the lesser of (i) a number of shares equal to 1% of the total number of outstanding shares of common stock on December 31 immediately prior to the date of increase or (ii) such number of shares as may be determined by the Board, provided that no more than 3,960,955 shares may be issued under the ESPP.</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Matters</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limit our directors’ liability, and provide that we may indemnify our directors and officers to the fullest extent permitted under Delaware General Corporation Law (the “DGCL”). The DGCL provides that directors of a corporation will not be personally liable for monetary damages for breach of their fiduciary duties as directors, except for liability for any:</w:t>
      </w:r>
    </w:p>
    <w:p>
      <w:pPr>
        <w:spacing w:after="0" w:line="72" w:lineRule="exact"/>
        <w:rPr>
          <w:sz w:val="20"/>
          <w:szCs w:val="20"/>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a director’s duty of loyalty to the corporation or its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These limitations of liability do not apply to liabilities arising under federal securities laws and do not affect the availability of equitable remedies such as injunctive relief or recession. The DGCL and our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 In addition, we have entered, and intend to continue to enter, into separate indemnification agreements with our directors and officers. These indemnification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 We also maintain a directors’ and officers’ insurance policy pursuant to which our directors and officers are insured against liability for actions taken in their capacities as directors and officers. We believe that these provisions in our amended and restated certificate of incorporation and amended and restated bylaws and these indemnification agreements are necessary to attract and retain qualified persons as directors and officers. 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In November 2023, our Board adopted a written compensation recovery policy in accordance with the Dodd-Frank Wall Street Reform and Consumer Protection Act and applicable Nasdaq Listing Rules, a copy of which is filed as an exhibit to our Annual Report on Form 10-K for the fiscal year ended December 31, 2023.</w:t>
      </w:r>
    </w:p>
    <w:p>
      <w:pPr>
        <w:spacing w:after="0" w:line="68"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As a public company, if we are required to restate our financial results due to our material noncompliance with any financial reporting requirements under the federal securities laws as a result of misconduct, the CEO and Chief Financial Officer may be legally required to reimburse our Company for any bonus or other incentive-based or equity-based compensation they receive in accordance with the provisions of section 304 of the Sarbanes-Oxley Act of 2002, as amended.</w:t>
      </w:r>
    </w:p>
    <w:p>
      <w:pPr>
        <w:spacing w:after="0" w:line="328" w:lineRule="exact"/>
        <w:rPr>
          <w:sz w:val="20"/>
          <w:szCs w:val="20"/>
          <w:color w:val="auto"/>
        </w:rPr>
      </w:pPr>
    </w:p>
    <w:p>
      <w:pPr>
        <w:ind w:left="300" w:right="1019"/>
        <w:spacing w:after="0" w:line="286" w:lineRule="auto"/>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5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From time to time, we grant stock options to employees, including the named executive officers. Also, non-employee directors receive automatic grants of initial and annual stock option awards, at the time of a director’s initial appointment or election to the Board and at the time of each annual meeting of the Company’s stockholders, respectively, pursuant to our Non-Employee Director Compensation Program, as further described under the heading “-Non-Employee Director Compensation” below. We do not otherwise maintain any written policies on the timing of awards of stock options, stock appreciation rights, or similar instruments with option-like features. Neither our Board nor our Compensation Committee takes material non-public information (“MNPI”) into account when determining the timing of equity awards, nor do we time the disclosure of MNPI for the purpose of impacting the value of executive compensation.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is being provided pursuant to Item 402(x)(2) of Regulation S-K.</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500" w:type="dxa"/>
            <w:vAlign w:val="bottom"/>
            <w:vMerge w:val="restart"/>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8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48"/>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w:t>
            </w:r>
          </w:p>
        </w:tc>
        <w:tc>
          <w:tcPr>
            <w:tcW w:w="1500" w:type="dxa"/>
            <w:vAlign w:val="bottom"/>
            <w:vMerge w:val="continue"/>
          </w:tcPr>
          <w:p>
            <w:pPr>
              <w:spacing w:after="0"/>
              <w:rPr>
                <w:sz w:val="12"/>
                <w:szCs w:val="12"/>
                <w:color w:val="auto"/>
              </w:rPr>
            </w:pPr>
          </w:p>
        </w:tc>
        <w:tc>
          <w:tcPr>
            <w:tcW w:w="88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0" w:type="dxa"/>
            <w:vAlign w:val="bottom"/>
          </w:tcPr>
          <w:p>
            <w:pPr>
              <w:spacing w:after="0"/>
              <w:rPr>
                <w:sz w:val="1"/>
                <w:szCs w:val="1"/>
                <w:color w:val="auto"/>
              </w:rPr>
            </w:pPr>
          </w:p>
        </w:tc>
      </w:tr>
      <w:tr>
        <w:trPr>
          <w:trHeight w:val="190"/>
        </w:trPr>
        <w:tc>
          <w:tcPr>
            <w:tcW w:w="1380" w:type="dxa"/>
            <w:vAlign w:val="bottom"/>
            <w:vMerge w:val="continue"/>
          </w:tcPr>
          <w:p>
            <w:pPr>
              <w:spacing w:after="0"/>
              <w:rPr>
                <w:sz w:val="16"/>
                <w:szCs w:val="16"/>
                <w:color w:val="auto"/>
              </w:rPr>
            </w:pPr>
          </w:p>
        </w:tc>
        <w:tc>
          <w:tcPr>
            <w:tcW w:w="1500" w:type="dxa"/>
            <w:vAlign w:val="bottom"/>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date (b)</w:t>
            </w:r>
          </w:p>
        </w:tc>
        <w:tc>
          <w:tcPr>
            <w:tcW w:w="8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award (c)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8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7"/>
        </w:trPr>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9"/>
        </w:trPr>
        <w:tc>
          <w:tcPr>
            <w:tcW w:w="9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of the award</w:t>
            </w:r>
          </w:p>
        </w:tc>
        <w:tc>
          <w:tcPr>
            <w:tcW w:w="86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of the award</w:t>
            </w:r>
          </w:p>
        </w:tc>
      </w:tr>
      <w:tr>
        <w:trPr>
          <w:trHeight w:val="216"/>
        </w:trPr>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 (d)</w:t>
            </w:r>
          </w:p>
        </w:tc>
        <w:tc>
          <w:tcPr>
            <w:tcW w:w="860" w:type="dxa"/>
            <w:vAlign w:val="bottom"/>
          </w:tcPr>
          <w:p>
            <w:pPr>
              <w:jc w:val="center"/>
              <w:ind w:left="28"/>
              <w:spacing w:after="0" w:line="216" w:lineRule="exact"/>
              <w:rPr>
                <w:sz w:val="20"/>
                <w:szCs w:val="20"/>
                <w:color w:val="auto"/>
              </w:rPr>
            </w:pPr>
            <w:r>
              <w:rPr>
                <w:rFonts w:ascii="Times New Roman" w:cs="Times New Roman" w:eastAsia="Times New Roman" w:hAnsi="Times New Roman"/>
                <w:sz w:val="14"/>
                <w:szCs w:val="14"/>
                <w:b w:val="1"/>
                <w:bCs w:val="1"/>
                <w:color w:val="auto"/>
                <w:w w:val="97"/>
              </w:rPr>
              <w:t>($) (e)</w:t>
            </w:r>
            <w:r>
              <w:rPr>
                <w:rFonts w:ascii="Times New Roman" w:cs="Times New Roman" w:eastAsia="Times New Roman" w:hAnsi="Times New Roman"/>
                <w:sz w:val="23"/>
                <w:szCs w:val="23"/>
                <w:b w:val="1"/>
                <w:bCs w:val="1"/>
                <w:color w:val="auto"/>
                <w:w w:val="97"/>
                <w:vertAlign w:val="superscript"/>
              </w:rPr>
              <w:t>(1)</w:t>
            </w: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 (%) (f)</w:t>
      </w:r>
    </w:p>
    <w:p>
      <w:pPr>
        <w:spacing w:after="0" w:line="133" w:lineRule="exact"/>
        <w:rPr>
          <w:sz w:val="20"/>
          <w:szCs w:val="20"/>
          <w:color w:val="auto"/>
        </w:rPr>
      </w:pPr>
    </w:p>
    <w:p>
      <w:pPr>
        <w:sectPr>
          <w:pgSz w:w="11900" w:h="16838" w:orient="portrait"/>
          <w:cols w:equalWidth="0" w:num="3">
            <w:col w:w="4060" w:space="200"/>
            <w:col w:w="1800" w:space="180"/>
            <w:col w:w="2779"/>
          </w:cols>
          <w:pgMar w:left="1440" w:top="114" w:right="1440" w:bottom="1440" w:gutter="0" w:footer="0" w:header="0"/>
          <w:type w:val="continuous"/>
        </w:sectPr>
      </w:pPr>
    </w:p>
    <w:tbl>
      <w:tblPr>
        <w:tblLayout w:type="fixed"/>
        <w:tblInd w:w="300" w:type="dxa"/>
        <w:tblCellMar>
          <w:top w:w="0" w:type="dxa"/>
          <w:left w:w="0" w:type="dxa"/>
          <w:bottom w:w="0" w:type="dxa"/>
          <w:right w:w="0" w:type="dxa"/>
        </w:tblCellMar>
      </w:tblPr>
      <w:tr>
        <w:trPr>
          <w:trHeight w:val="20"/>
        </w:trPr>
        <w:tc>
          <w:tcPr>
            <w:tcW w:w="1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27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Love, Esq.</w:t>
            </w:r>
          </w:p>
        </w:tc>
        <w:tc>
          <w:tcPr>
            <w:tcW w:w="1080" w:type="dxa"/>
            <w:vAlign w:val="bottom"/>
            <w:gridSpan w:val="2"/>
            <w:shd w:val="clear" w:color="auto" w:fill="CCEEFF"/>
          </w:tcPr>
          <w:p>
            <w:pPr>
              <w:jc w:val="right"/>
              <w:ind w:right="20"/>
              <w:spacing w:after="0" w:line="270" w:lineRule="exact"/>
              <w:rPr>
                <w:sz w:val="20"/>
                <w:szCs w:val="20"/>
                <w:color w:val="auto"/>
              </w:rPr>
            </w:pPr>
            <w:r>
              <w:rPr>
                <w:rFonts w:ascii="Times New Roman" w:cs="Times New Roman" w:eastAsia="Times New Roman" w:hAnsi="Times New Roman"/>
                <w:sz w:val="18"/>
                <w:szCs w:val="18"/>
                <w:color w:val="auto"/>
              </w:rPr>
              <w:t>2/27/2025</w:t>
            </w:r>
            <w:r>
              <w:rPr>
                <w:rFonts w:ascii="Times New Roman" w:cs="Times New Roman" w:eastAsia="Times New Roman" w:hAnsi="Times New Roman"/>
                <w:sz w:val="29"/>
                <w:szCs w:val="29"/>
                <w:color w:val="auto"/>
                <w:vertAlign w:val="superscript"/>
              </w:rPr>
              <w:t>(2)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2,522,260</w:t>
            </w:r>
          </w:p>
        </w:tc>
        <w:tc>
          <w:tcPr>
            <w:tcW w:w="26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3.35%</w:t>
            </w:r>
          </w:p>
        </w:tc>
      </w:tr>
      <w:tr>
        <w:trPr>
          <w:trHeight w:val="28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Ted Yednock, Ph.D.</w:t>
            </w:r>
          </w:p>
        </w:tc>
        <w:tc>
          <w:tcPr>
            <w:tcW w:w="1080" w:type="dxa"/>
            <w:vAlign w:val="bottom"/>
            <w:gridSpan w:val="2"/>
          </w:tcPr>
          <w:p>
            <w:pPr>
              <w:jc w:val="right"/>
              <w:ind w:right="20"/>
              <w:spacing w:after="0" w:line="284" w:lineRule="exact"/>
              <w:rPr>
                <w:sz w:val="20"/>
                <w:szCs w:val="20"/>
                <w:color w:val="auto"/>
              </w:rPr>
            </w:pPr>
            <w:r>
              <w:rPr>
                <w:rFonts w:ascii="Times New Roman" w:cs="Times New Roman" w:eastAsia="Times New Roman" w:hAnsi="Times New Roman"/>
                <w:sz w:val="18"/>
                <w:szCs w:val="18"/>
                <w:color w:val="auto"/>
              </w:rPr>
              <w:t>2/27/2025</w:t>
            </w:r>
            <w:r>
              <w:rPr>
                <w:rFonts w:ascii="Times New Roman" w:cs="Times New Roman" w:eastAsia="Times New Roman" w:hAnsi="Times New Roman"/>
                <w:sz w:val="29"/>
                <w:szCs w:val="29"/>
                <w:color w:val="auto"/>
                <w:vertAlign w:val="superscript"/>
              </w:rPr>
              <w:t>(2)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272,575</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528,850</w:t>
            </w:r>
          </w:p>
        </w:tc>
        <w:tc>
          <w:tcPr>
            <w:tcW w:w="26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3.35%</w:t>
            </w:r>
          </w:p>
        </w:tc>
      </w:tr>
      <w:tr>
        <w:trPr>
          <w:trHeight w:val="27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Lew</w:t>
            </w:r>
          </w:p>
        </w:tc>
        <w:tc>
          <w:tcPr>
            <w:tcW w:w="1080" w:type="dxa"/>
            <w:vAlign w:val="bottom"/>
            <w:gridSpan w:val="2"/>
            <w:shd w:val="clear" w:color="auto" w:fill="CCEEFF"/>
          </w:tcPr>
          <w:p>
            <w:pPr>
              <w:jc w:val="right"/>
              <w:ind w:right="20"/>
              <w:spacing w:after="0" w:line="270" w:lineRule="exact"/>
              <w:rPr>
                <w:sz w:val="20"/>
                <w:szCs w:val="20"/>
                <w:color w:val="auto"/>
              </w:rPr>
            </w:pPr>
            <w:r>
              <w:rPr>
                <w:rFonts w:ascii="Times New Roman" w:cs="Times New Roman" w:eastAsia="Times New Roman" w:hAnsi="Times New Roman"/>
                <w:sz w:val="18"/>
                <w:szCs w:val="18"/>
                <w:color w:val="auto"/>
              </w:rPr>
              <w:t>2/27/2025</w:t>
            </w:r>
            <w:r>
              <w:rPr>
                <w:rFonts w:ascii="Times New Roman" w:cs="Times New Roman" w:eastAsia="Times New Roman" w:hAnsi="Times New Roman"/>
                <w:sz w:val="29"/>
                <w:szCs w:val="29"/>
                <w:color w:val="auto"/>
                <w:vertAlign w:val="superscript"/>
              </w:rPr>
              <w:t>(2)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272,575</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528,850</w:t>
            </w:r>
          </w:p>
        </w:tc>
        <w:tc>
          <w:tcPr>
            <w:tcW w:w="26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3.35%</w:t>
            </w:r>
          </w:p>
        </w:tc>
      </w:tr>
      <w:tr>
        <w:trPr>
          <w:trHeight w:val="54"/>
        </w:trPr>
        <w:tc>
          <w:tcPr>
            <w:tcW w:w="18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4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439" w:hanging="348"/>
        <w:spacing w:after="0" w:line="236"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aggregate grant date fair value of stock options computed in accordance with the provisions of ASC-718. The assumptions that we used to calculate these amounts are discussed in Note 7 of our Annual Report on Form 10-K for the fiscal year ended December 31, 2025. These amounts may not reflect the actual economic value that will be realized by our named executive officers upon the exercise of the stock options or the sale of the common stock issued upon such exercise.</w:t>
      </w:r>
    </w:p>
    <w:p>
      <w:pPr>
        <w:spacing w:after="0" w:line="14" w:lineRule="exact"/>
        <w:rPr>
          <w:rFonts w:ascii="Times New Roman" w:cs="Times New Roman" w:eastAsia="Times New Roman" w:hAnsi="Times New Roman"/>
          <w:sz w:val="14"/>
          <w:szCs w:val="14"/>
          <w:color w:val="auto"/>
        </w:rPr>
      </w:pPr>
    </w:p>
    <w:p>
      <w:pPr>
        <w:ind w:left="640" w:right="719" w:hanging="348"/>
        <w:spacing w:after="0" w:line="24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27, 2025, our Board approved and priced certain equity compensation awards in the form of stock options to our named executive officers, which were made two business days before we filed our Annual Report on Form 10-K for the fiscal year ended December 31, 2024.</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jc w:val="both"/>
        <w:ind w:left="300" w:right="419"/>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concerning compensation earned by the non-employee members of our Board during the year ended December 31, 2025. Mr. Love, our President and CEO, is also a director but does not receive any additional compensation for his services as a director. Information concerning the compensation earned by Mr. Love is set forth in the Summary Compensation Table above.</w:t>
      </w:r>
    </w:p>
    <w:p>
      <w:pPr>
        <w:spacing w:after="0" w:line="12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6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9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7"/>
                <w:vertAlign w:val="subscript"/>
              </w:rPr>
              <w:t>($)</w:t>
            </w:r>
            <w:r>
              <w:rPr>
                <w:rFonts w:ascii="Times New Roman" w:cs="Times New Roman" w:eastAsia="Times New Roman" w:hAnsi="Times New Roman"/>
                <w:sz w:val="11"/>
                <w:szCs w:val="11"/>
                <w:b w:val="1"/>
                <w:bCs w:val="1"/>
                <w:color w:val="auto"/>
                <w:w w:val="97"/>
              </w:rPr>
              <w:t>(1)(2)</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Bettina M. Cockroft, M.D.</w:t>
            </w:r>
          </w:p>
        </w:tc>
        <w:tc>
          <w:tcPr>
            <w:tcW w:w="9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56,000</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106,215</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162,215</w:t>
            </w:r>
          </w:p>
        </w:tc>
        <w:tc>
          <w:tcPr>
            <w:tcW w:w="0" w:type="dxa"/>
            <w:vAlign w:val="bottom"/>
          </w:tcPr>
          <w:p>
            <w:pPr>
              <w:spacing w:after="0"/>
              <w:rPr>
                <w:sz w:val="1"/>
                <w:szCs w:val="1"/>
                <w:color w:val="auto"/>
              </w:rPr>
            </w:pP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Jung E. Choi</w:t>
            </w:r>
          </w:p>
        </w:tc>
        <w:tc>
          <w:tcPr>
            <w:tcW w:w="9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58,000</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106,215</w:t>
            </w:r>
          </w:p>
        </w:tc>
        <w:tc>
          <w:tcPr>
            <w:tcW w:w="160" w:type="dxa"/>
            <w:vAlign w:val="bottom"/>
          </w:tcPr>
          <w:p>
            <w:pPr>
              <w:spacing w:after="0"/>
              <w:rPr>
                <w:sz w:val="20"/>
                <w:szCs w:val="20"/>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164,215</w:t>
            </w:r>
          </w:p>
        </w:tc>
        <w:tc>
          <w:tcPr>
            <w:tcW w:w="0" w:type="dxa"/>
            <w:vAlign w:val="bottom"/>
          </w:tcPr>
          <w:p>
            <w:pPr>
              <w:spacing w:after="0"/>
              <w:rPr>
                <w:sz w:val="1"/>
                <w:szCs w:val="1"/>
                <w:color w:val="auto"/>
              </w:rPr>
            </w:pPr>
          </w:p>
        </w:tc>
      </w:tr>
      <w:tr>
        <w:trPr>
          <w:trHeight w:val="24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Muneer A. Satter</w:t>
            </w:r>
          </w:p>
        </w:tc>
        <w:tc>
          <w:tcPr>
            <w:tcW w:w="9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60,000</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106,215</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166,215</w:t>
            </w:r>
          </w:p>
        </w:tc>
        <w:tc>
          <w:tcPr>
            <w:tcW w:w="0" w:type="dxa"/>
            <w:vAlign w:val="bottom"/>
          </w:tcPr>
          <w:p>
            <w:pPr>
              <w:spacing w:after="0"/>
              <w:rPr>
                <w:sz w:val="1"/>
                <w:szCs w:val="1"/>
                <w:color w:val="auto"/>
              </w:rPr>
            </w:pP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Thomas G. Wiggans</w:t>
            </w:r>
          </w:p>
        </w:tc>
        <w:tc>
          <w:tcPr>
            <w:tcW w:w="9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86,000</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106,215</w:t>
            </w:r>
          </w:p>
        </w:tc>
        <w:tc>
          <w:tcPr>
            <w:tcW w:w="160" w:type="dxa"/>
            <w:vAlign w:val="bottom"/>
          </w:tcPr>
          <w:p>
            <w:pPr>
              <w:spacing w:after="0"/>
              <w:rPr>
                <w:sz w:val="20"/>
                <w:szCs w:val="20"/>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192,215</w:t>
            </w:r>
          </w:p>
        </w:tc>
        <w:tc>
          <w:tcPr>
            <w:tcW w:w="0" w:type="dxa"/>
            <w:vAlign w:val="bottom"/>
          </w:tcPr>
          <w:p>
            <w:pPr>
              <w:spacing w:after="0"/>
              <w:rPr>
                <w:sz w:val="1"/>
                <w:szCs w:val="1"/>
                <w:color w:val="auto"/>
              </w:rPr>
            </w:pPr>
          </w:p>
        </w:tc>
      </w:tr>
      <w:tr>
        <w:trPr>
          <w:trHeight w:val="24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D. Waddill</w:t>
            </w:r>
          </w:p>
        </w:tc>
        <w:tc>
          <w:tcPr>
            <w:tcW w:w="9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65,000</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106,215</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171,215</w:t>
            </w:r>
          </w:p>
        </w:tc>
        <w:tc>
          <w:tcPr>
            <w:tcW w:w="0" w:type="dxa"/>
            <w:vAlign w:val="bottom"/>
          </w:tcPr>
          <w:p>
            <w:pPr>
              <w:spacing w:after="0"/>
              <w:rPr>
                <w:sz w:val="1"/>
                <w:szCs w:val="1"/>
                <w:color w:val="auto"/>
              </w:rPr>
            </w:pP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William H. Carson, M.D.</w:t>
            </w:r>
          </w:p>
        </w:tc>
        <w:tc>
          <w:tcPr>
            <w:tcW w:w="9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58,000</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106,215</w:t>
            </w:r>
          </w:p>
        </w:tc>
        <w:tc>
          <w:tcPr>
            <w:tcW w:w="160" w:type="dxa"/>
            <w:vAlign w:val="bottom"/>
          </w:tcPr>
          <w:p>
            <w:pPr>
              <w:spacing w:after="0"/>
              <w:rPr>
                <w:sz w:val="20"/>
                <w:szCs w:val="20"/>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164,215</w:t>
            </w:r>
          </w:p>
        </w:tc>
        <w:tc>
          <w:tcPr>
            <w:tcW w:w="0" w:type="dxa"/>
            <w:vAlign w:val="bottom"/>
          </w:tcPr>
          <w:p>
            <w:pPr>
              <w:spacing w:after="0"/>
              <w:rPr>
                <w:sz w:val="1"/>
                <w:szCs w:val="1"/>
                <w:color w:val="auto"/>
              </w:rPr>
            </w:pPr>
          </w:p>
        </w:tc>
      </w:tr>
      <w:tr>
        <w:trPr>
          <w:trHeight w:val="274"/>
        </w:trPr>
        <w:tc>
          <w:tcPr>
            <w:tcW w:w="4560" w:type="dxa"/>
            <w:vAlign w:val="bottom"/>
            <w:shd w:val="clear" w:color="auto" w:fill="CCEEFF"/>
          </w:tcPr>
          <w:p>
            <w:pPr>
              <w:spacing w:after="0" w:line="274" w:lineRule="exact"/>
              <w:rPr>
                <w:sz w:val="20"/>
                <w:szCs w:val="20"/>
                <w:color w:val="auto"/>
              </w:rPr>
            </w:pPr>
            <w:r>
              <w:rPr>
                <w:rFonts w:ascii="Times New Roman" w:cs="Times New Roman" w:eastAsia="Times New Roman" w:hAnsi="Times New Roman"/>
                <w:sz w:val="18"/>
                <w:szCs w:val="18"/>
                <w:color w:val="auto"/>
              </w:rPr>
              <w:t>William (BJ) Jones, Jr.</w:t>
            </w:r>
            <w:r>
              <w:rPr>
                <w:rFonts w:ascii="Times New Roman" w:cs="Times New Roman" w:eastAsia="Times New Roman" w:hAnsi="Times New Roman"/>
                <w:sz w:val="29"/>
                <w:szCs w:val="29"/>
                <w:b w:val="1"/>
                <w:bCs w:val="1"/>
                <w:color w:val="auto"/>
                <w:vertAlign w:val="superscript"/>
              </w:rPr>
              <w:t>(3)</w:t>
            </w:r>
          </w:p>
        </w:tc>
        <w:tc>
          <w:tcPr>
            <w:tcW w:w="9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43,500</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432,489</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475,989</w:t>
            </w:r>
          </w:p>
        </w:tc>
        <w:tc>
          <w:tcPr>
            <w:tcW w:w="0" w:type="dxa"/>
            <w:vAlign w:val="bottom"/>
          </w:tcPr>
          <w:p>
            <w:pPr>
              <w:spacing w:after="0"/>
              <w:rPr>
                <w:sz w:val="1"/>
                <w:szCs w:val="1"/>
                <w:color w:val="auto"/>
              </w:rPr>
            </w:pPr>
          </w:p>
        </w:tc>
      </w:tr>
      <w:tr>
        <w:trPr>
          <w:trHeight w:val="54"/>
        </w:trPr>
        <w:tc>
          <w:tcPr>
            <w:tcW w:w="45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459" w:hanging="348"/>
        <w:spacing w:after="0" w:line="233"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the “Option Awards” column reflect the aggregate grant date fair value of stock options granted during the calendar year computed in accordance with the provisions of ASC 718, Compensation-Stock Compensation. The assumptions that we used to calculate these amounts are discussed in Note 7 of our Annual Report on Form 10-K for the fiscal year ended December 31, 2025. These amounts may not reflect the actual economic value that will be realized by the non-employee director upon the exercise of the stock options, or the sale of the common stock acquired upon such exercise.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right="579" w:hanging="348"/>
        <w:spacing w:after="0" w:line="26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tables set forth options awards held as of December 31, 2025 by each non-employee director. None of our non-employee directors held any stock awards as of December 31, 2025.</w:t>
      </w:r>
    </w:p>
    <w:p>
      <w:pPr>
        <w:spacing w:after="0" w:line="10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7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7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Fiscal</w:t>
            </w:r>
          </w:p>
        </w:tc>
        <w:tc>
          <w:tcPr>
            <w:tcW w:w="0" w:type="dxa"/>
            <w:vAlign w:val="bottom"/>
          </w:tcPr>
          <w:p>
            <w:pPr>
              <w:spacing w:after="0"/>
              <w:rPr>
                <w:sz w:val="1"/>
                <w:szCs w:val="1"/>
                <w:color w:val="auto"/>
              </w:rPr>
            </w:pPr>
          </w:p>
        </w:tc>
      </w:tr>
      <w:tr>
        <w:trPr>
          <w:trHeight w:val="148"/>
        </w:trPr>
        <w:tc>
          <w:tcPr>
            <w:tcW w:w="7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Year-End</w:t>
            </w:r>
          </w:p>
        </w:tc>
        <w:tc>
          <w:tcPr>
            <w:tcW w:w="0" w:type="dxa"/>
            <w:vAlign w:val="bottom"/>
          </w:tcPr>
          <w:p>
            <w:pPr>
              <w:spacing w:after="0"/>
              <w:rPr>
                <w:sz w:val="1"/>
                <w:szCs w:val="1"/>
                <w:color w:val="auto"/>
              </w:rPr>
            </w:pPr>
          </w:p>
        </w:tc>
      </w:tr>
      <w:tr>
        <w:trPr>
          <w:trHeight w:val="148"/>
        </w:trPr>
        <w:tc>
          <w:tcPr>
            <w:tcW w:w="7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0" w:type="dxa"/>
            <w:vAlign w:val="bottom"/>
          </w:tcPr>
          <w:p>
            <w:pPr>
              <w:spacing w:after="0"/>
              <w:rPr>
                <w:sz w:val="1"/>
                <w:szCs w:val="1"/>
                <w:color w:val="auto"/>
              </w:rPr>
            </w:pPr>
          </w:p>
        </w:tc>
      </w:tr>
      <w:tr>
        <w:trPr>
          <w:trHeight w:val="190"/>
        </w:trPr>
        <w:tc>
          <w:tcPr>
            <w:tcW w:w="7340" w:type="dxa"/>
            <w:vAlign w:val="bottom"/>
            <w:vMerge w:val="continue"/>
          </w:tcPr>
          <w:p>
            <w:pPr>
              <w:spacing w:after="0"/>
              <w:rPr>
                <w:sz w:val="16"/>
                <w:szCs w:val="16"/>
                <w:color w:val="auto"/>
              </w:rPr>
            </w:pPr>
          </w:p>
        </w:tc>
        <w:tc>
          <w:tcPr>
            <w:tcW w:w="1080" w:type="dxa"/>
            <w:vAlign w:val="bottom"/>
            <w:gridSpan w:val="2"/>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7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Bettina M. Cockroft, M.D.</w:t>
            </w:r>
          </w:p>
        </w:tc>
        <w:tc>
          <w:tcPr>
            <w:tcW w:w="10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Jung E. Choi</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47"/>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Muneer A. Satter</w:t>
            </w:r>
          </w:p>
        </w:tc>
        <w:tc>
          <w:tcPr>
            <w:tcW w:w="10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Thomas G. Wiggans</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47"/>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D. Waddill</w:t>
            </w:r>
          </w:p>
        </w:tc>
        <w:tc>
          <w:tcPr>
            <w:tcW w:w="10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William H. Carson, M.D.</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3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(BJ) Jones, Jr.</w:t>
            </w:r>
          </w:p>
        </w:tc>
        <w:tc>
          <w:tcPr>
            <w:tcW w:w="108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143,000</w:t>
            </w:r>
          </w:p>
        </w:tc>
        <w:tc>
          <w:tcPr>
            <w:tcW w:w="0" w:type="dxa"/>
            <w:vAlign w:val="bottom"/>
          </w:tcPr>
          <w:p>
            <w:pPr>
              <w:spacing w:after="0"/>
              <w:rPr>
                <w:sz w:val="1"/>
                <w:szCs w:val="1"/>
                <w:color w:val="auto"/>
              </w:rPr>
            </w:pPr>
          </w:p>
        </w:tc>
      </w:tr>
      <w:tr>
        <w:trPr>
          <w:trHeight w:val="54"/>
        </w:trPr>
        <w:tc>
          <w:tcPr>
            <w:tcW w:w="73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Jones commenced service on our Board on January 9, 2025.</w:t>
      </w:r>
    </w:p>
    <w:p>
      <w:pPr>
        <w:spacing w:after="0" w:line="100"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Our Board adopted our Non-Employee Director Compensation Program for our non-employee directors, as amended in April 2025 pursuant to which non-employee directors are compensated as follows:</w:t>
      </w:r>
    </w:p>
    <w:p>
      <w:pPr>
        <w:spacing w:after="0" w:line="54"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receives an annual cash retainer in the amount of $40,000 per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non-executive chair receives an additional annual cash retainer in the amount of $35,000 per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Audit Committee receives additional annual cash compensation in the amount of</w:t>
      </w:r>
    </w:p>
    <w:p>
      <w:pPr>
        <w:spacing w:after="0" w:line="27" w:lineRule="exact"/>
        <w:rPr>
          <w:rFonts w:ascii="Times New Roman" w:cs="Times New Roman" w:eastAsia="Times New Roman" w:hAnsi="Times New Roman"/>
          <w:sz w:val="18"/>
          <w:szCs w:val="18"/>
          <w:color w:val="auto"/>
        </w:rPr>
      </w:pPr>
    </w:p>
    <w:p>
      <w:pPr>
        <w:ind w:left="1000" w:right="5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such chair’s service on the Audit Committee. Each non-chair member of the Audit Committee receives additional annual cash compensation in the amount of $10,000 per year for such member’s service on the Audit Committee.</w:t>
      </w:r>
    </w:p>
    <w:p>
      <w:pPr>
        <w:spacing w:after="0" w:line="77" w:lineRule="exact"/>
        <w:rPr>
          <w:rFonts w:ascii="Times New Roman" w:cs="Times New Roman" w:eastAsia="Times New Roman" w:hAnsi="Times New Roman"/>
          <w:sz w:val="18"/>
          <w:szCs w:val="18"/>
          <w:color w:val="auto"/>
        </w:rPr>
      </w:pPr>
    </w:p>
    <w:p>
      <w:pPr>
        <w:jc w:val="both"/>
        <w:ind w:left="1000" w:right="379" w:hanging="348"/>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Compensation Committee receives additional annual cash compensation in the amount of $12,000 per year for such chair’s service on the Compensation Committee. Each non-chair member of the Compensation Committee receives additional annual cash compensation in the amount of $6,000 per year for such member’s service on the Compensation Committee.</w:t>
      </w:r>
    </w:p>
    <w:p>
      <w:pPr>
        <w:spacing w:after="0" w:line="71"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Nominating and Corporate Governance Committee receives additional annual cash compensation in the amount of $10,000 per year for such chair’s service on the Nominating and Corporate Governance Committee. Each non-chair member of the Nominating and Corporate Governance Committee receives additional annual cash compensation in the amount of $5,000 per year for such member’s service on the Nominating and Corporate Governance Committee.</w:t>
      </w:r>
    </w:p>
    <w:p>
      <w:pPr>
        <w:spacing w:after="0" w:line="75" w:lineRule="exact"/>
        <w:rPr>
          <w:rFonts w:ascii="Times New Roman" w:cs="Times New Roman" w:eastAsia="Times New Roman" w:hAnsi="Times New Roman"/>
          <w:sz w:val="18"/>
          <w:szCs w:val="18"/>
          <w:color w:val="auto"/>
        </w:rPr>
      </w:pPr>
    </w:p>
    <w:p>
      <w:pPr>
        <w:ind w:left="1000" w:right="339" w:hanging="348"/>
        <w:spacing w:after="0" w:line="281" w:lineRule="auto"/>
        <w:tabs>
          <w:tab w:leader="none" w:pos="10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 of the Science and Technology Committee receives additional annual cash compensation in the amount of $12,000 per year for such chair’s service on the Science and Technology Committee. Each non-chair member of the Science and Technology Committee receives additional annual cash compensation in the amount of $6,000 per year for such member’s service on the Science and Technology Committee.</w:t>
      </w:r>
    </w:p>
    <w:p>
      <w:pPr>
        <w:spacing w:after="0" w:line="56" w:lineRule="exact"/>
        <w:rPr>
          <w:rFonts w:ascii="Times New Roman" w:cs="Times New Roman" w:eastAsia="Times New Roman" w:hAnsi="Times New Roman"/>
          <w:sz w:val="17"/>
          <w:szCs w:val="17"/>
          <w:color w:val="auto"/>
        </w:rPr>
      </w:pPr>
    </w:p>
    <w:p>
      <w:pPr>
        <w:ind w:left="1000" w:right="339" w:hanging="348"/>
        <w:spacing w:after="0" w:line="254"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is automatically granted an option to purchase 110,000 shares of our common stock upon the director’s initial appointment or election to our Board, referred to as the Initial Grant, and option to purchase 55,000 shares of our common stock automatically on the date of each annual stockholder’s meeting thereafter, referred to as the Annual Grant. The Initial Grant vests in substantially equal monthly installments for three years from the date of grant, subject to continued service. The Annual Grant vests on the earlier of the first anniversary of the date of grant or the date of the next annual stockholder’s meeting to the extent unvested as of such date, subject to continued service through each applicable vesting date. Each Initial Grant and Annual Grant vests in full in the event of a change in control.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RELATED-PERSON TRANSACTIONS</w:t>
      </w:r>
    </w:p>
    <w:p>
      <w:pPr>
        <w:spacing w:after="0" w:line="121"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Since January 1, 2024, we have engaged in the following transactions in which the amount involved exceeded or will exceed the lesser of $120,000 or 1% of the average of our total assets at year-end for the last two completed fiscal years with our directors, executive officers, holders of more than 5% of our voting securities and affiliates or immediate family members of, or person sharing a household with, our directors, executive officers and holders of more than 5% of our voting securities, and in which any related person had or will have a direct or indirect material interest. We believe that all of these transactions were on terms as favorable as could have been obtained from unrelated third parties.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2024 Financing</w:t>
      </w:r>
    </w:p>
    <w:p>
      <w:pPr>
        <w:spacing w:after="0" w:line="121"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In June 2024, Redmile Group, LLC purchased pre-funded warrants to purchase up to 7,000,000 shares of our common stock, at a price of $6.249 per pre-funded warrant, which represents the per share public offering price for the shares at the time of issuance, less the $0.001 exercise price of each pre-funded warrant. The pre-funded warrants were immediately exercisable, subject to certain beneficial ownership limitations. Redmile Group, LLC and its affiliated entities beneficially owned more than 5% of our capital stock at the time of the 2024 Financing. As of the date of this filing, pre-funded warrants to purchase up to 2,500,000 shares of our common stock remained outstanding.</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2025 Warrant Amendments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In June 2025, we modified outstanding warrants originally issued in connection with a Securities Purchase Agreement dated July 7, 2022. The modification extended the warrant term from June 30, 2025 to June 30, 2026 and removed the cashless exercise option. The warrants were held by: (i) RedCo II Master Fund, L.P., holding warrants to purchase 4,197,610 shares, and Redmile Biopharma Investments II, L.P., holding warrants to purchase</w:t>
      </w:r>
    </w:p>
    <w:p>
      <w:pPr>
        <w:spacing w:after="0" w:line="3"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645,786 shares, which are affiliates of Redmile Group, LLC and collectively hold more than 5% of our outstanding common stock, and (ii) Alerce Medical Technology Partners, L.P. (formerly Satter Medical Technology Partners II, L.P.), holding warrants to purchase 613,497 shares, which is affiliated with Mr. Muneer A. Satter, a member of the Board. This transaction was approved by the Audit Committee in accordance with our related person transaction policy.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2025 Financing</w:t>
      </w:r>
    </w:p>
    <w:p>
      <w:pPr>
        <w:spacing w:after="0" w:line="121" w:lineRule="exact"/>
        <w:rPr>
          <w:sz w:val="20"/>
          <w:szCs w:val="20"/>
          <w:color w:val="auto"/>
        </w:rPr>
      </w:pPr>
    </w:p>
    <w:p>
      <w:pPr>
        <w:ind w:left="300" w:right="439"/>
        <w:spacing w:after="0" w:line="277" w:lineRule="auto"/>
        <w:rPr>
          <w:sz w:val="20"/>
          <w:szCs w:val="20"/>
          <w:color w:val="auto"/>
        </w:rPr>
      </w:pPr>
      <w:r>
        <w:rPr>
          <w:rFonts w:ascii="Times New Roman" w:cs="Times New Roman" w:eastAsia="Times New Roman" w:hAnsi="Times New Roman"/>
          <w:sz w:val="17"/>
          <w:szCs w:val="17"/>
          <w:color w:val="auto"/>
        </w:rPr>
        <w:t>In November 2025, Redmile Group, LLC purchased pre-funded warrants to purchase up to 3,750,000 shares of our common stock, at a price of $2.599 per pre-funded warrant, which represents the per share public offering price for the shares at the time of issuance, less the $0.001 exercise price of each pre-funded warrant. The pre-funded warrants were immediately exercisable, subject to certain beneficial ownership limitations. Redmile Group, LLC and its affiliated entities beneficially owned more than 5% of our capital stock at the time of the 2025 Financing.</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and Executive Officer Compensation</w:t>
      </w:r>
    </w:p>
    <w:p>
      <w:pPr>
        <w:spacing w:after="0" w:line="121"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See the section titled “Executive Compensation” for information regarding compensation of our current directors and executive officers.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our current executive officers. For more information regarding these agreements, see the section titled “Executive Compensation.”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certain of our current directors and officers, and intend to enter into new indemnification agreements with each of our current directors and officers. Our amended and restated certificate of incorporation and our amended and restated bylaws provide that we will indemnify our directors and officers to the fullest extent permitted by applicable law.</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POLICY AND PROCEDURES FOR RELATED PARTY TRANSACTIONS</w:t>
      </w:r>
    </w:p>
    <w:p>
      <w:pPr>
        <w:spacing w:after="0" w:line="121" w:lineRule="exact"/>
        <w:rPr>
          <w:sz w:val="20"/>
          <w:szCs w:val="20"/>
          <w:color w:val="auto"/>
        </w:rPr>
      </w:pPr>
    </w:p>
    <w:p>
      <w:pPr>
        <w:ind w:left="300" w:right="559"/>
        <w:spacing w:after="0" w:line="289" w:lineRule="auto"/>
        <w:rPr>
          <w:sz w:val="20"/>
          <w:szCs w:val="20"/>
          <w:color w:val="auto"/>
        </w:rPr>
      </w:pPr>
      <w:r>
        <w:rPr>
          <w:rFonts w:ascii="Times New Roman" w:cs="Times New Roman" w:eastAsia="Times New Roman" w:hAnsi="Times New Roman"/>
          <w:sz w:val="17"/>
          <w:szCs w:val="17"/>
          <w:color w:val="auto"/>
        </w:rPr>
        <w:t>Our Board adopted a written related 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79"/>
        <w:spacing w:after="0" w:line="254" w:lineRule="auto"/>
        <w:rPr>
          <w:sz w:val="20"/>
          <w:szCs w:val="20"/>
          <w:color w:val="auto"/>
        </w:rPr>
      </w:pPr>
      <w:r>
        <w:rPr>
          <w:rFonts w:ascii="Times New Roman" w:cs="Times New Roman" w:eastAsia="Times New Roman" w:hAnsi="Times New Roman"/>
          <w:sz w:val="18"/>
          <w:szCs w:val="18"/>
          <w:color w:val="auto"/>
        </w:rPr>
        <w:t>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Unless otherwise noted, all of the transactions described in this section occurred prior to the adoption of this policy.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Jennifer Lew, Corporate Secretary, by mail at Annexon, Inc., 1400 Sierra Point Parkway, Bldg C, Suite 200, Brisbane, California 94005 or by telephone at (650) 822-5509.</w:t>
      </w:r>
    </w:p>
    <w:p>
      <w:pPr>
        <w:spacing w:after="0" w:line="84"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wish to receive only one copy of future proxy materials for your household, please contact Jennifer Lew, Corporate Secretary, by mail at Annexon, Inc., 1400 Sierra Point Parkway, Bldg C, Suite 200, Brisbane, California 94005.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3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34290</wp:posOffset>
            </wp:positionV>
            <wp:extent cx="1003300" cy="3854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03300"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Douglas Love</w:t>
      </w:r>
    </w:p>
    <w:p>
      <w:pPr>
        <w:spacing w:after="0" w:line="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April 27, 2026</w:t>
      </w:r>
    </w:p>
    <w:p>
      <w:pPr>
        <w:spacing w:after="0" w:line="167" w:lineRule="exact"/>
        <w:rPr>
          <w:sz w:val="20"/>
          <w:szCs w:val="20"/>
          <w:color w:val="auto"/>
        </w:rPr>
      </w:pPr>
    </w:p>
    <w:p>
      <w:pPr>
        <w:ind w:left="300" w:right="499"/>
        <w:spacing w:after="0" w:line="256" w:lineRule="auto"/>
        <w:rPr>
          <w:sz w:val="20"/>
          <w:szCs w:val="20"/>
          <w:color w:val="auto"/>
        </w:rPr>
      </w:pPr>
      <w:r>
        <w:rPr>
          <w:rFonts w:ascii="Times New Roman" w:cs="Times New Roman" w:eastAsia="Times New Roman" w:hAnsi="Times New Roman"/>
          <w:sz w:val="18"/>
          <w:szCs w:val="18"/>
          <w:b w:val="1"/>
          <w:bCs w:val="1"/>
          <w:color w:val="auto"/>
        </w:rPr>
        <w:t>A copy of the Company’s Annual Report on Form 10-K for the fiscal year ended December 31, 2025 is available on our website under the “Investors &amp; Media” section. Additionally, we will provide a copy of our Annual Report on Form 10-K, including financial statements and schedules thereto but not including exhibits, as filed with the SEC, without charge upon written request to: Jennifer Lew, Annexon, Inc.,</w:t>
      </w:r>
    </w:p>
    <w:p>
      <w:pPr>
        <w:spacing w:after="0" w:line="3"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b w:val="1"/>
          <w:bCs w:val="1"/>
          <w:color w:val="auto"/>
        </w:rPr>
        <w:t>1400 Sierra Point Parkway, Bldg C, Suite 200, Brisbane, California 94005. Exhibits to the Annual Report on Form 10-K for the fiscal year ended December 31, 2025 are available upon payment of a reasonable fee, which is limited to our expenses in furnishing the requested exhibit.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ANNEXON, INC.</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242 of the General Corporation Law of the State of Delaware</w:t>
      </w:r>
    </w:p>
    <w:p>
      <w:pPr>
        <w:spacing w:after="0" w:line="117"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Annexon, Inc., a corporation organized and existing under and by virtue of the Delaware General Corporation Law, hereby certifies as follows:</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1.  The Amended and Restated Certificate of Incorporation is hereby amended by deleting the second sentence of Article IV Section 1 thereof and inserting the following in lieu thereof:</w:t>
      </w:r>
    </w:p>
    <w:p>
      <w:pPr>
        <w:spacing w:after="0" w:line="54" w:lineRule="exact"/>
        <w:rPr>
          <w:sz w:val="20"/>
          <w:szCs w:val="20"/>
          <w:color w:val="auto"/>
        </w:rPr>
      </w:pPr>
    </w:p>
    <w:p>
      <w:pPr>
        <w:ind w:left="1020" w:right="1119"/>
        <w:spacing w:after="0" w:line="312" w:lineRule="auto"/>
        <w:rPr>
          <w:sz w:val="20"/>
          <w:szCs w:val="20"/>
          <w:color w:val="auto"/>
        </w:rPr>
      </w:pPr>
      <w:r>
        <w:rPr>
          <w:rFonts w:ascii="Times New Roman" w:cs="Times New Roman" w:eastAsia="Times New Roman" w:hAnsi="Times New Roman"/>
          <w:sz w:val="17"/>
          <w:szCs w:val="17"/>
          <w:color w:val="auto"/>
        </w:rPr>
        <w:t>“The total number of shares that the Corporation is authorized to issue is 505,000,000, of which 500,000,000 shares shall be Common Stock and 5,000,000 shares shall be Preferred Stock.”</w:t>
      </w:r>
    </w:p>
    <w:p>
      <w:pPr>
        <w:spacing w:after="0" w:line="32"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2.  The foregoing amendment was duly adopted in accordance with the provisions of Section 242 of the General Corporation Law of the State of Delaware.</w:t>
      </w:r>
    </w:p>
    <w:p>
      <w:pPr>
        <w:spacing w:after="0" w:line="54"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to be executed by its duly authorized officer on this     day of     , 2026.</w:t>
      </w:r>
    </w:p>
    <w:p>
      <w:pPr>
        <w:spacing w:after="0" w:line="11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Annexon, Inc.</w:t>
      </w:r>
    </w:p>
    <w:p>
      <w:pPr>
        <w:spacing w:after="0" w:line="2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13627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4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 Douglas Love, Esq.</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120015</wp:posOffset>
            </wp:positionV>
            <wp:extent cx="6292215" cy="8143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135255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120015</wp:posOffset>
            </wp:positionV>
            <wp:extent cx="6292215" cy="8143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lvl w:ilvl="1">
      <w:lvlJc w:val="left"/>
      <w:lvlText w:val="☐"/>
      <w:numFmt w:val="bullet"/>
      <w:start w:val="1"/>
    </w:lvl>
  </w:abstractNum>
  <w:abstractNum w:abstractNumId="1">
    <w:nsid w:val="62BBD95A"/>
    <w:multiLevelType w:val="hybridMultilevel"/>
    <w:lvl w:ilvl="0">
      <w:lvlJc w:val="left"/>
      <w:lvlText w:val="☒"/>
      <w:numFmt w:val="bullet"/>
      <w:start w:val="1"/>
    </w:lvl>
    <w:lvl w:ilvl="1">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2"/>
      <w:numFmt w:val="bullet"/>
      <w:start w:val="1"/>
    </w:lvl>
  </w:abstractNum>
  <w:abstractNum w:abstractNumId="8">
    <w:nsid w:val="6763845E"/>
    <w:multiLevelType w:val="hybridMultilevel"/>
    <w:lvl w:ilvl="0">
      <w:lvlJc w:val="left"/>
      <w:lvlText w:val="3"/>
      <w:numFmt w:val="bullet"/>
      <w:start w:val="1"/>
    </w:lvl>
  </w:abstractNum>
  <w:abstractNum w:abstractNumId="9">
    <w:nsid w:val="75A2A8D4"/>
    <w:multiLevelType w:val="hybridMultilevel"/>
    <w:lvl w:ilvl="0">
      <w:lvlJc w:val="left"/>
      <w:lvlText w:val="4"/>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2"/>
    </w:lvl>
    <w:lvl w:ilvl="1">
      <w:lvlJc w:val="left"/>
      <w:lvlText w:val="(%2)"/>
      <w:numFmt w:val="lowerRoman"/>
      <w:start w:val="1"/>
    </w:lvl>
  </w:abstractNum>
  <w:abstractNum w:abstractNumId="20">
    <w:nsid w:val="3A95F874"/>
    <w:multiLevelType w:val="hybridMultilevel"/>
    <w:lvl w:ilvl="0">
      <w:lvlJc w:val="left"/>
      <w:lvlText w:val="%1"/>
      <w:numFmt w:val="decimal"/>
      <w:start w:val="1"/>
    </w:lvl>
    <w:lvl w:ilvl="1">
      <w:lvlJc w:val="left"/>
      <w:lvlText w:val="(%2)"/>
      <w:numFmt w:val="lowerRoman"/>
      <w:start w:val="4"/>
    </w:lvl>
  </w:abstractNum>
  <w:abstractNum w:abstractNumId="21">
    <w:nsid w:val="8138641"/>
    <w:multiLevelType w:val="hybridMultilevel"/>
    <w:lvl w:ilvl="0">
      <w:lvlJc w:val="left"/>
      <w:lvlText w:val="(%1)"/>
      <w:numFmt w:val="decimal"/>
      <w:start w:val="5"/>
    </w:lvl>
    <w:lvl w:ilvl="1">
      <w:lvlJc w:val="left"/>
      <w:lvlText w:val="%2"/>
      <w:numFmt w:val="lowerRoman"/>
      <w:start w:val="1"/>
    </w:lvl>
  </w:abstractNum>
  <w:abstractNum w:abstractNumId="22">
    <w:nsid w:val="1E7FF521"/>
    <w:multiLevelType w:val="hybridMultilevel"/>
    <w:lvl w:ilvl="0">
      <w:lvlJc w:val="left"/>
      <w:lvlText w:val="(%1)"/>
      <w:numFmt w:val="decimal"/>
      <w:start w:val="6"/>
    </w:lvl>
  </w:abstractNum>
  <w:abstractNum w:abstractNumId="23">
    <w:nsid w:val="7C3DBD3D"/>
    <w:multiLevelType w:val="hybridMultilevel"/>
    <w:lvl w:ilvl="0">
      <w:lvlJc w:val="left"/>
      <w:lvlText w:val="(%1)"/>
      <w:numFmt w:val="lowerRoman"/>
      <w:start w:val="2"/>
    </w:lvl>
    <w:lvl w:ilvl="1">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lowerRoman"/>
      <w:start w:val="2"/>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2"/>
    </w:lvl>
  </w:abstractNum>
  <w:abstractNum w:abstractNumId="29">
    <w:nsid w:val="614FD4A1"/>
    <w:multiLevelType w:val="hybridMultilevel"/>
    <w:lvl w:ilvl="0">
      <w:lvlJc w:val="left"/>
      <w:lvlText w:val="%1"/>
      <w:numFmt w:val="decimal"/>
      <w:start w:val="1"/>
    </w:lvl>
    <w:lvl w:ilvl="1">
      <w:lvlJc w:val="left"/>
      <w:lvlText w:val="(%2)"/>
      <w:numFmt w:val="lowerLetter"/>
      <w:start w:val="1"/>
    </w:lvl>
  </w:abstractNum>
  <w:abstractNum w:abstractNumId="30">
    <w:nsid w:val="419AC241"/>
    <w:multiLevelType w:val="hybridMultilevel"/>
    <w:lvl w:ilvl="0">
      <w:lvlJc w:val="left"/>
      <w:lvlText w:val="(%1)"/>
      <w:numFmt w:val="decimal"/>
      <w:start w:val="4"/>
    </w:lvl>
    <w:lvl w:ilvl="1">
      <w:lvlJc w:val="left"/>
      <w:lvlText w:val="%2"/>
      <w:numFmt w:val="lowerLetter"/>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2"/>
    </w:lvl>
  </w:abstractNum>
  <w:abstractNum w:abstractNumId="36">
    <w:nsid w:val="7724C67E"/>
    <w:multiLevelType w:val="hybridMultilevel"/>
    <w:lvl w:ilvl="0">
      <w:lvlJc w:val="left"/>
      <w:lvlText w:val="(%1)"/>
      <w:numFmt w:val="decimal"/>
      <w:start w:val="3"/>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2026-04-27T15:17:54Z</dcterms:created>
  <dcterms:modified xsi:type="dcterms:W3CDTF">2026-04-27T15:17:54Z</dcterms:modified>
</cp:coreProperties>
</file>