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9960d8k.htm"/>
      <w:bookmarkStart w:id="1" w:name="ksd1199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27-5414423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1400 Sierra Point Parkway, Bldg C, Suite 200</w:t>
      </w:r>
    </w:p>
    <w:p>
      <w:pPr>
        <w:pStyle w:val="TextBody"/>
        <w:bidi w:val="0"/>
        <w:spacing w:before="0" w:after="0"/>
        <w:jc w:val="center"/>
        <w:rPr>
          <w:rFonts w:ascii="Times New Roman" w:hAnsi="Times New Roman"/>
          <w:b/>
          <w:sz w:val="20"/>
        </w:rPr>
      </w:pPr>
      <w:r>
        <w:rPr>
          <w:rFonts w:ascii="Times New Roman" w:hAnsi="Times New Roman"/>
          <w:b/>
          <w:sz w:val="20"/>
        </w:rPr>
        <w:t>Brisbane, California 94005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822-5500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ANNX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12, 2026, Annexon, Inc. (the “Company”) announced certain financial results for the second quarter ended June 30, 2026. A copy of the Company’s press release, titled “Annexon Reports Second Quarter 2026 Financial Results, Business Updates and Key Anticipated Milestones” is furnished pursuant to Item 2.02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2.02 of this Current Report on Form 8-K, including Exhibit 99.1, shall not be deemed to be “filed” for purposes of Section 18 of the Securities Exchange Act of 1934, as amended, or otherwise subject to the liabilities of that section or Section 11 and 12(a)(2) of the Securities Act of 1933, as amended. The information contained in Item 2.02 of this Current Report on Form 8-K, including Exhibit 99.1, shall not be incorporated by reference into any filing with the U.S. Securities and Exchange Commission made by the Company, whether made before or after the date hereof, regardless of any general incorporation language in such filing, except as expressly set forth by specific reference in such a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12, 2026, the Company issued a press release titled “Annexon Expands Vonaprument Phase 3 Program in Geographic Atrophy to Add Month 24 Dual Primary Endpoint Complementing Month 15 Primary Endpoint and Launch Open-Label Extension Study.” A copy of the press release is attached as Exhibit 99.2 to this Current Report on Form 8-K and, other than the quotes contained therein,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center"/>
              <w:rPr>
                <w:b/>
              </w:rPr>
            </w:pPr>
            <w:r>
              <w:rPr>
                <w:b/>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9960dex991.htm">
              <w:r>
                <w:rPr>
                  <w:rStyle w:val="InternetLink"/>
                </w:rPr>
                <w:t xml:space="preserve">Press release, dated August 12, 2026, titled “Annexon Reports Second Quarter 2026 Financial Results, Business Updates and Key Anticipated Milestones”.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19960dex992.htm">
              <w:r>
                <w:rPr>
                  <w:rStyle w:val="InternetLink"/>
                </w:rPr>
                <w:t xml:space="preserve">Press release, dated August 12, 2026, titled “Annexon Expands Vonaprument Phase 3 Program in Geographic Atrophy to Add Month 24 Dual Primary Endpoint Complementing Month 15 Primary Endpoint and Launch Open-Label Extension Study”.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Cover Page Interactive Data File,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874" w:type="dxa"/>
        <w:jc w:val="left"/>
        <w:tblInd w:w="0" w:type="dxa"/>
        <w:tblLayout w:type="fixed"/>
        <w:tblCellMar>
          <w:top w:w="0" w:type="dxa"/>
          <w:left w:w="0" w:type="dxa"/>
          <w:bottom w:w="0" w:type="dxa"/>
          <w:right w:w="0" w:type="dxa"/>
        </w:tblCellMar>
      </w:tblPr>
      <w:tblGrid>
        <w:gridCol w:w="724"/>
        <w:gridCol w:w="1145"/>
        <w:gridCol w:w="445"/>
        <w:gridCol w:w="60"/>
        <w:gridCol w:w="365"/>
        <w:gridCol w:w="60"/>
        <w:gridCol w:w="5075"/>
      </w:tblGrid>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314" w:type="dxa"/>
            <w:gridSpan w:val="3"/>
            <w:tcBorders/>
            <w:vAlign w:val="center"/>
          </w:tcPr>
          <w:p>
            <w:pPr>
              <w:pStyle w:val="TableContents"/>
              <w:bidi w:val="0"/>
              <w:spacing w:before="0" w:after="283"/>
              <w:jc w:val="left"/>
              <w:rPr/>
            </w:pPr>
            <w:r>
              <w:rPr/>
              <w:t>Dated: August 12,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Annexon, Inc.</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Jennifer Lew</w:t>
            </w:r>
          </w:p>
        </w:tc>
      </w:tr>
      <w:tr>
        <w:trPr/>
        <w:tc>
          <w:tcPr>
            <w:tcW w:w="72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19960dex991.htm"/>
      <w:bookmarkStart w:id="3" w:name="ksd11996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573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286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Annexon Reports Second Quarter 2026 Financial Results, Business Updates and Key Anticipated Milestones </w:t>
      </w:r>
    </w:p>
    <w:p>
      <w:pPr>
        <w:pStyle w:val="TextBody"/>
        <w:bidi w:val="0"/>
        <w:spacing w:before="240" w:after="0"/>
        <w:jc w:val="center"/>
        <w:rPr>
          <w:rFonts w:ascii="Times New Roman" w:hAnsi="Times New Roman"/>
          <w:i/>
          <w:sz w:val="20"/>
        </w:rPr>
      </w:pPr>
      <w:r>
        <w:rPr>
          <w:rFonts w:ascii="Times New Roman" w:hAnsi="Times New Roman"/>
          <w:i/>
          <w:sz w:val="20"/>
        </w:rPr>
        <w:t xml:space="preserve">Rapid, Positive Clinical Outcomes in GBS FORWARD Study Reinforce Consistency and Reproducibility of Tanruprubart Treatment Effect Demonstrated in Phase 3 and Real-World Evidence Studies; BLA Submission Expected in Q4 2026 </w:t>
      </w:r>
    </w:p>
    <w:p>
      <w:pPr>
        <w:pStyle w:val="TextBody"/>
        <w:bidi w:val="0"/>
        <w:spacing w:before="240" w:after="0"/>
        <w:jc w:val="center"/>
        <w:rPr>
          <w:rFonts w:ascii="Times New Roman" w:hAnsi="Times New Roman"/>
          <w:i/>
          <w:sz w:val="20"/>
        </w:rPr>
      </w:pPr>
      <w:r>
        <w:rPr>
          <w:rFonts w:ascii="Times New Roman" w:hAnsi="Times New Roman"/>
          <w:i/>
          <w:sz w:val="20"/>
        </w:rPr>
        <w:t>Vonaprument Phase 3 GA Program Expanded with Month 15 / 24 Dual Primary Endpoint Strategy and Launch of Open-Label Extension Study; Month 15 Primary Endpoint on Track for Q4 2026</w:t>
      </w:r>
    </w:p>
    <w:p>
      <w:pPr>
        <w:pStyle w:val="TextBody"/>
        <w:bidi w:val="0"/>
        <w:spacing w:before="240" w:after="0"/>
        <w:jc w:val="center"/>
        <w:rPr>
          <w:rFonts w:ascii="Times New Roman" w:hAnsi="Times New Roman"/>
          <w:i/>
          <w:sz w:val="20"/>
        </w:rPr>
      </w:pPr>
      <w:r>
        <w:rPr>
          <w:rFonts w:ascii="Times New Roman" w:hAnsi="Times New Roman"/>
          <w:i/>
          <w:sz w:val="20"/>
        </w:rPr>
        <w:t xml:space="preserve">POC Data for ANX1502, a First-in-Kind Oral C1 Inhibitor for Autoimmune Disease, Expected in Fall 2026 </w:t>
      </w:r>
    </w:p>
    <w:p>
      <w:pPr>
        <w:pStyle w:val="TextBody"/>
        <w:bidi w:val="0"/>
        <w:spacing w:before="240" w:after="0"/>
        <w:jc w:val="center"/>
        <w:rPr>
          <w:rFonts w:ascii="Times New Roman" w:hAnsi="Times New Roman"/>
          <w:i/>
          <w:sz w:val="20"/>
        </w:rPr>
      </w:pPr>
      <w:r>
        <w:rPr>
          <w:rFonts w:ascii="Times New Roman" w:hAnsi="Times New Roman"/>
          <w:i/>
          <w:sz w:val="20"/>
        </w:rPr>
        <w:t xml:space="preserve">$200 Million Credit Facility Strengthens Balance Sheet and Capabilities; Anticipated Runway Extended into 2028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Business Update Call Today at 8:00 a.m. ET </w:t>
      </w:r>
    </w:p>
    <w:p>
      <w:pPr>
        <w:pStyle w:val="TextBody"/>
        <w:bidi w:val="0"/>
        <w:spacing w:before="240" w:after="0"/>
        <w:jc w:val="left"/>
        <w:rPr>
          <w:rFonts w:ascii="Times New Roman" w:hAnsi="Times New Roman"/>
          <w:sz w:val="20"/>
        </w:rPr>
      </w:pPr>
      <w:r>
        <w:rPr>
          <w:rFonts w:ascii="Times New Roman" w:hAnsi="Times New Roman"/>
          <w:b/>
          <w:sz w:val="20"/>
        </w:rPr>
        <w:t>BRISBANE, Calif., August</w:t>
      </w:r>
      <w:r>
        <w:rPr>
          <w:rFonts w:ascii="Times New Roman" w:hAnsi="Times New Roman"/>
          <w:sz w:val="20"/>
        </w:rPr>
        <w:t> </w:t>
      </w:r>
      <w:r>
        <w:rPr>
          <w:rFonts w:ascii="Times New Roman" w:hAnsi="Times New Roman"/>
          <w:b/>
          <w:sz w:val="20"/>
        </w:rPr>
        <w:t xml:space="preserve">12, 2026 </w:t>
      </w:r>
      <w:r>
        <w:rPr>
          <w:rFonts w:ascii="Times New Roman" w:hAnsi="Times New Roman"/>
          <w:sz w:val="20"/>
        </w:rPr>
        <w:t xml:space="preserve">– </w:t>
      </w:r>
      <w:r>
        <w:rPr>
          <w:rFonts w:ascii="Times New Roman" w:hAnsi="Times New Roman"/>
          <w:sz w:val="20"/>
          <w:u w:val="single"/>
        </w:rPr>
        <w:t>Annexon, Inc</w:t>
      </w:r>
      <w:r>
        <w:rPr>
          <w:rFonts w:ascii="Times New Roman" w:hAnsi="Times New Roman"/>
          <w:sz w:val="20"/>
        </w:rPr>
        <w:t xml:space="preserve">. (Nasdaq: ANNX), a biopharmaceutical company advancing the next generation platform of targeted immunotherapies aimed at neuroinflammatory diseases that impact nearly 10 million people worldwide, today highlighted portfolio progress, announced key anticipated milestones, and reported second quarter 2026 financial results. The Company will host a business update call today at 8:00 a.m. ET to discuss corporate and clinical developments across its C1q-focused neuroinflammatory pipeline. Please register for the event </w:t>
      </w:r>
      <w:r>
        <w:rPr>
          <w:rFonts w:ascii="Times New Roman" w:hAnsi="Times New Roman"/>
          <w:sz w:val="20"/>
          <w:u w:val="single"/>
        </w:rPr>
        <w:t>here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rPr>
        <w:t xml:space="preserve">2026 is a defining year for our company, with meaningful progress across both our Guillain-Barré syndrome (GBS) and geographic atrophy (GA) programs that position us to potentially deliver two transformative therapies for millions of patients in need. The quality and consistency of the data generated to date reinforce our confidence in the differentiated potential of our C1q-targeted approaches to address neuroinflammatory diseases at their source, and we are encouraged by the growing enthusiasm from patients and physicians,” said Douglas Love, president and chief executive officer of Annexon. “With our leadership capabilities and financial position strengthened, we are entering an exciting period of execution, with multiple important clinical and regulatory milestones expected over the next 6 to 12 months and a significant opportunity to create value for patients and stakeholders.” </w:t>
      </w:r>
    </w:p>
    <w:p>
      <w:pPr>
        <w:pStyle w:val="TextBody"/>
        <w:bidi w:val="0"/>
        <w:spacing w:before="360" w:after="0"/>
        <w:jc w:val="left"/>
        <w:rPr>
          <w:rFonts w:ascii="Times New Roman" w:hAnsi="Times New Roman"/>
          <w:b/>
          <w:sz w:val="20"/>
        </w:rPr>
      </w:pPr>
      <w:r>
        <w:rPr>
          <w:rFonts w:ascii="Times New Roman" w:hAnsi="Times New Roman"/>
          <w:b/>
          <w:sz w:val="20"/>
        </w:rPr>
        <w:t xml:space="preserve">2026 Strategic Priorities and Key Milestones </w:t>
      </w:r>
    </w:p>
    <w:p>
      <w:pPr>
        <w:pStyle w:val="TextBody"/>
        <w:bidi w:val="0"/>
        <w:spacing w:before="120" w:after="0"/>
        <w:jc w:val="left"/>
        <w:rPr>
          <w:rFonts w:ascii="Times New Roman" w:hAnsi="Times New Roman"/>
          <w:b/>
          <w:sz w:val="20"/>
        </w:rPr>
      </w:pPr>
      <w:r>
        <w:rPr>
          <w:rFonts w:ascii="Times New Roman" w:hAnsi="Times New Roman"/>
          <w:b/>
          <w:sz w:val="20"/>
        </w:rPr>
        <w:t xml:space="preserve">Tanruprubart: Potential to be the first targeted, fast-acting therapy for GBS, an indiscriminate life-threatening neuromuscular emergency affecting 150,000 people annually worldwide and driving an estimated $20+ billion annual healthcare burden in the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Early improvement in strength and clinically meaningful reduction in disability shown with tanruprubart in the first ten U.S. and European patients with GBS from the ongoing, open-label FORWARD study. Early outcomes reinforce the consistency and reproducibility of tanruprubart treatment effect previously demonstrated in Phase 3 and real-world evidence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 Marketing Authorisation Application under review with the European Medicines Agency supported by robust data package demonstrating rapid benefit on function and disability in placebo-controlled studies and Real-World Evidence study demonstrating favorable outcomes versus current treatments, intravenous immunoglobulin and plasma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Next Milestone: Biologics License Application (BLA) submission with U.S./European data from FORWARD trial expected in fourth quarter of 2026. </w:t>
            </w:r>
          </w:p>
        </w:tc>
      </w:tr>
    </w:tbl>
    <w:p>
      <w:pPr>
        <w:pStyle w:val="TextBody"/>
        <w:bidi w:val="0"/>
        <w:spacing w:before="240" w:after="0"/>
        <w:jc w:val="left"/>
        <w:rPr>
          <w:rFonts w:ascii="Times New Roman" w:hAnsi="Times New Roman"/>
          <w:sz w:val="20"/>
        </w:rPr>
      </w:pPr>
      <w:r>
        <w:rPr>
          <w:rFonts w:ascii="Times New Roman" w:hAnsi="Times New Roman"/>
          <w:b/>
          <w:sz w:val="20"/>
        </w:rPr>
        <w:t>Vonaprument: Potential to be the first targeted vision-preserving therapy for GA, a leading cause of blindness affecting more than 8</w:t>
      </w:r>
      <w:r>
        <w:rPr>
          <w:rFonts w:ascii="Times New Roman" w:hAnsi="Times New Roman"/>
          <w:sz w:val="20"/>
        </w:rPr>
        <w:t> </w:t>
      </w:r>
      <w:r>
        <w:rPr>
          <w:rFonts w:ascii="Times New Roman" w:hAnsi="Times New Roman"/>
          <w:b/>
          <w:sz w:val="20"/>
        </w:rPr>
        <w:t>million patients worldwide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ongoing, global, double masked Phase 3 ARCHER II trial remains on track, and all eligible patients have received at least 12 months of treatment, with masked event accrual consistent with projected timelines. Vonaprument continues to be generally well-tolerated with a low discontinuation rate (&lt;10%) and high compliance (&gt;95%), reinforcing significant enthusiasm by physicians/patients.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maximize the best-in-class potential of vonaprument, a Month 24 dual primary endpoint was added while maintaining the Month 15 primary endpoint. This strategic enhancement was enabled by the strong power and execution of the Phase 3 ARCHER II trial. With a dual primary endpoint strategy, ARCHER II can achieve success in protecting against vision loss at either Month 15 or 24, which are independent efficacy timepoints.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Annexon also launched an open-label extension (OLE) study to evaluate the the long-term safety and benefit of vonaprument in patients with GA. Following completion of the 2-year ARCHER II study, all patients have the option to receive monthly vonaprument treatment in the OLE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Next Milestones: Month 15 primary endpoint on track for the fourth quarter of 2026, with final trial completion, including the Month 24 primary endpoint expected in the third quarter of 2027. </w:t>
            </w:r>
          </w:p>
        </w:tc>
      </w:tr>
    </w:tbl>
    <w:p>
      <w:pPr>
        <w:pStyle w:val="TextBody"/>
        <w:bidi w:val="0"/>
        <w:spacing w:before="240" w:after="0"/>
        <w:jc w:val="left"/>
        <w:rPr>
          <w:rFonts w:ascii="Times New Roman" w:hAnsi="Times New Roman"/>
          <w:sz w:val="20"/>
        </w:rPr>
      </w:pPr>
      <w:r>
        <w:rPr>
          <w:rFonts w:ascii="Times New Roman" w:hAnsi="Times New Roman"/>
          <w:b/>
          <w:sz w:val="20"/>
        </w:rPr>
        <w:t>ANX1502 for Autoimmune Conditions:</w:t>
      </w:r>
      <w:r>
        <w:rPr>
          <w:rFonts w:ascii="Times New Roman" w:hAnsi="Times New Roman"/>
          <w:sz w:val="20"/>
        </w:rPr>
        <w:t xml:space="preserve"> First-in-kind oral small molecule inhibiting activated C1s, with convenient and flexible dosing.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Dosing is complete. The ongoing proof-of-concept (POC) study is evaluating pharmacokinetics (PK) and pharmacodynamics (PD) in relation to food intake, and reduction in complement and bilirubin markers as a measure of hemolysis in patients with cold agglutinin disease (CAD).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Next Milestone: Update on POC trial in CAD anticipated in the Fall of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a strategic credit facility of up to $200 million with Oxford Finance LLC, with an initial $50 million drawn at closing, bolstering Annexon’s financial position, and diversifying its capital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Mark S. Blumenkranz, M.D., M.M.S., a retinal surgeon and biotechnology entrepreneur with more than four decades of clinical, scientific and corporate leadership experience, to Annexon’s board of directors as the Company prepares for potential commercialization.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and operating runway:</w:t>
            </w:r>
            <w:r>
              <w:rPr>
                <w:rFonts w:ascii="Times New Roman" w:hAnsi="Times New Roman"/>
                <w:sz w:val="20"/>
              </w:rPr>
              <w:t xml:space="preserve"> Cash, cash equivalents and short-term investments were $209.2 million as of June 30, 2026. Annexon’s current cash, cash equivalents and short-term investments and funds from the credit facility are expected to fund operations and anticipated milestones into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Research and development (R&amp;D) expenses:</w:t>
            </w:r>
            <w:r>
              <w:rPr>
                <w:rFonts w:ascii="Times New Roman" w:hAnsi="Times New Roman"/>
                <w:sz w:val="20"/>
              </w:rPr>
              <w:t xml:space="preserve"> R&amp;D expenses were $46.6 million for the quarter ended June 30, 2026, compared to $44.2 million for the quarter ended June 30, 2025. The change in R&amp;D expenses is primarily associated with the Phase 3 ARCHER II trial of vonaprument in GA and contract manufacturing expenses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General and administrative (G&amp;A) expenses:</w:t>
            </w:r>
            <w:r>
              <w:rPr>
                <w:rFonts w:ascii="Times New Roman" w:hAnsi="Times New Roman"/>
                <w:sz w:val="20"/>
              </w:rPr>
              <w:t xml:space="preserve"> G&amp;A expenses were $10.6 million for the quarter ended June 30, 2026, compared to $7.6 million for the quarter ended June 30, 2025. The change in G&amp;A expenses reflects ongoing corporate consulting and professional services costs for the advancement of our registrational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Net loss attributable to common stockholders was $55.3 million or $0.28 per share for the quarter ended June 30, 2026, compared to $49.2 million or $0.34 per share for the quarter ended June 30,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Annexon will host a webcast at 8:00 a.m. ET today, August 12, 2026. Please register for the webcast here. The live webcast and replay may be also accessed by visiting Annexon’s website at </w:t>
      </w:r>
      <w:r>
        <w:rPr>
          <w:rFonts w:ascii="Times New Roman" w:hAnsi="Times New Roman"/>
          <w:sz w:val="20"/>
          <w:u w:val="single"/>
        </w:rPr>
        <w:t>https://ir.annexonbio.com/events-and-presentations/events.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Annexon </w:t>
      </w:r>
    </w:p>
    <w:p>
      <w:pPr>
        <w:pStyle w:val="TextBody"/>
        <w:bidi w:val="0"/>
        <w:spacing w:before="120" w:after="0"/>
        <w:jc w:val="left"/>
        <w:rPr>
          <w:rFonts w:ascii="Times New Roman" w:hAnsi="Times New Roman"/>
          <w:sz w:val="20"/>
        </w:rPr>
      </w:pPr>
      <w:r>
        <w:rPr>
          <w:rFonts w:ascii="Times New Roman" w:hAnsi="Times New Roman"/>
          <w:sz w:val="20"/>
        </w:rPr>
        <w:t xml:space="preserve">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annexonbio.com.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statements about: the potential for the company’s two late stage registrational programs to improve the lives of millions of patients; timing of and topline data from the Month 15 primary endpoint and Month 24 primary endpoint in the pivotal Phase 3 ARCHER II trial; the potential of vonaprument to be the first targeted vision-preserving therapy for GA; the potential of tanruprubart to be the first targeted and fast-acting therapy for GBS; expectation of multiple important clinical and regulatory milestones over the next 6 to 12 months; timing of a BLA submission with supportive initial U.S./European data from FORWARD trial; timing of POC trial data for ANX1502 in CAD; anticipated cash runway into 2028; and continuing advancement of the company’s portfolio. Forward-looking statements are not guarantees of future performance and are subject to risks and uncertainties that could cause actual results and events to differ materially from those anticipated, including, but not limited to, risks and uncertainties related to: the final results from the Phase 3 ARCHER II trial; the company’s history of net operating losses; the company’s ability to obtain necessary capital to fund its clinical programs; the potential for delays in the company’s clinical trials, including if the FDA and comparable foreign regulatory authorities do not accept data from clinical trials for product candidates outside the United States;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most recent Annual Report on Form 10-K and Quarterly Reports on Form 10-Q and the company’s other filings with the Securities and Exchange Commission.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Beth Keshishian </w:t>
      </w:r>
    </w:p>
    <w:p>
      <w:pPr>
        <w:pStyle w:val="TextBody"/>
        <w:bidi w:val="0"/>
        <w:spacing w:before="0" w:after="0"/>
        <w:jc w:val="left"/>
        <w:rPr>
          <w:rFonts w:ascii="Times New Roman" w:hAnsi="Times New Roman"/>
          <w:sz w:val="20"/>
        </w:rPr>
      </w:pPr>
      <w:r>
        <w:rPr>
          <w:rFonts w:ascii="Times New Roman" w:hAnsi="Times New Roman"/>
          <w:sz w:val="20"/>
        </w:rPr>
        <w:t xml:space="preserve">917-912-7195 </w:t>
      </w:r>
    </w:p>
    <w:p>
      <w:pPr>
        <w:pStyle w:val="TextBody"/>
        <w:bidi w:val="0"/>
        <w:spacing w:before="0" w:after="0"/>
        <w:jc w:val="left"/>
        <w:rPr>
          <w:rFonts w:ascii="Times New Roman" w:hAnsi="Times New Roman"/>
          <w:sz w:val="20"/>
        </w:rPr>
      </w:pPr>
      <w:r>
        <w:rPr>
          <w:rFonts w:ascii="Times New Roman" w:hAnsi="Times New Roman"/>
          <w:sz w:val="20"/>
          <w:u w:val="single"/>
        </w:rPr>
        <w:t>beth@bethkeshishian.com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9"/>
        <w:gridCol w:w="241"/>
        <w:gridCol w:w="140"/>
        <w:gridCol w:w="1221"/>
        <w:gridCol w:w="155"/>
        <w:gridCol w:w="189"/>
        <w:gridCol w:w="140"/>
        <w:gridCol w:w="1221"/>
        <w:gridCol w:w="155"/>
        <w:gridCol w:w="189"/>
        <w:gridCol w:w="140"/>
        <w:gridCol w:w="1221"/>
        <w:gridCol w:w="155"/>
        <w:gridCol w:w="189"/>
        <w:gridCol w:w="140"/>
        <w:gridCol w:w="1221"/>
        <w:gridCol w:w="159"/>
      </w:tblGrid>
      <w:tr>
        <w:trPr/>
        <w:tc>
          <w:tcPr>
            <w:tcW w:w="3329"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06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066"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59" w:type="dxa"/>
            <w:tcBorders/>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32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(1)</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46,590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44,160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82,376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92,339</w:t>
            </w:r>
          </w:p>
        </w:tc>
        <w:tc>
          <w:tcPr>
            <w:tcW w:w="159" w:type="dxa"/>
            <w:tcBorders/>
            <w:vAlign w:val="bottom"/>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(1)</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10,637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7,566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20,904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16,792</w:t>
            </w:r>
          </w:p>
        </w:tc>
        <w:tc>
          <w:tcPr>
            <w:tcW w:w="159" w:type="dxa"/>
            <w:tcBorders/>
            <w:shd w:fill="CCEEFF" w:val="clear"/>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57,227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51,726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103,280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109,131</w:t>
            </w:r>
          </w:p>
        </w:tc>
        <w:tc>
          <w:tcPr>
            <w:tcW w:w="159" w:type="dxa"/>
            <w:tcBorders/>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(57,227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(51,726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(103,280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(109,131</w:t>
            </w:r>
          </w:p>
        </w:tc>
        <w:tc>
          <w:tcPr>
            <w:tcW w:w="159" w:type="dxa"/>
            <w:tcBorders/>
            <w:shd w:fill="CCEEFF" w:val="clear"/>
            <w:vAlign w:val="bottom"/>
          </w:tcPr>
          <w:p>
            <w:pPr>
              <w:pStyle w:val="TableContents"/>
              <w:bidi w:val="0"/>
              <w:spacing w:before="0" w:after="283"/>
              <w:jc w:val="left"/>
              <w:rPr/>
            </w:pPr>
            <w:r>
              <w:rPr/>
              <w:t>) </w:t>
            </w:r>
          </w:p>
        </w:tc>
      </w:tr>
      <w:tr>
        <w:trPr/>
        <w:tc>
          <w:tcPr>
            <w:tcW w:w="3329"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1,879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2,570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3,790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5,619</w:t>
            </w:r>
          </w:p>
        </w:tc>
        <w:tc>
          <w:tcPr>
            <w:tcW w:w="159" w:type="dxa"/>
            <w:tcBorders/>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(55,348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(49,156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(99,490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(103,512</w:t>
            </w:r>
          </w:p>
        </w:tc>
        <w:tc>
          <w:tcPr>
            <w:tcW w:w="159" w:type="dxa"/>
            <w:tcBorders/>
            <w:shd w:fill="CCEEFF" w:val="clear"/>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tcPr>
          <w:p>
            <w:pPr>
              <w:pStyle w:val="TableContents"/>
              <w:bidi w:val="0"/>
              <w:spacing w:before="0" w:after="0"/>
              <w:jc w:val="left"/>
              <w:rPr>
                <w:rFonts w:ascii="Times New Roman" w:hAnsi="Times New Roman"/>
                <w:sz w:val="20"/>
              </w:rPr>
            </w:pPr>
            <w:r>
              <w:rPr>
                <w:rFonts w:ascii="Times New Roman" w:hAnsi="Times New Roman"/>
                <w:sz w:val="20"/>
              </w:rPr>
              <w:t>Deemed dividend on modification of common stock warrants</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(1,857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(1,857</w:t>
            </w:r>
          </w:p>
        </w:tc>
        <w:tc>
          <w:tcPr>
            <w:tcW w:w="159" w:type="dxa"/>
            <w:tcBorders/>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(55,348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(51,013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(99,490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(105,369</w:t>
            </w:r>
          </w:p>
        </w:tc>
        <w:tc>
          <w:tcPr>
            <w:tcW w:w="159" w:type="dxa"/>
            <w:tcBorders/>
            <w:shd w:fill="CCEEFF" w:val="clear"/>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(0.34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(0.50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(0.71</w:t>
            </w:r>
          </w:p>
        </w:tc>
        <w:tc>
          <w:tcPr>
            <w:tcW w:w="159" w:type="dxa"/>
            <w:tcBorders/>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basic and diluted</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201,003,269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148,320,803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197,620,477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148,215,392</w:t>
            </w:r>
          </w:p>
        </w:tc>
        <w:tc>
          <w:tcPr>
            <w:tcW w:w="159" w:type="dxa"/>
            <w:tcBorders/>
            <w:shd w:fill="CCEEFF" w:val="clear"/>
            <w:vAlign w:val="bottom"/>
          </w:tcPr>
          <w:p>
            <w:pPr>
              <w:pStyle w:val="TableContents"/>
              <w:bidi w:val="0"/>
              <w:spacing w:before="0" w:after="283"/>
              <w:jc w:val="left"/>
              <w:rPr/>
            </w:pPr>
            <w:r>
              <w:rPr/>
              <w:t> </w:t>
            </w:r>
          </w:p>
        </w:tc>
      </w:tr>
      <w:tr>
        <w:trPr/>
        <w:tc>
          <w:tcPr>
            <w:tcW w:w="332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stock-based compensation expense: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15"/>
        <w:gridCol w:w="130"/>
        <w:gridCol w:w="1641"/>
        <w:gridCol w:w="130"/>
        <w:gridCol w:w="1641"/>
        <w:gridCol w:w="130"/>
        <w:gridCol w:w="1641"/>
        <w:gridCol w:w="130"/>
        <w:gridCol w:w="1647"/>
      </w:tblGrid>
      <w:tr>
        <w:trPr/>
        <w:tc>
          <w:tcPr>
            <w:tcW w:w="311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0"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$  2,663  </w:t>
            </w:r>
          </w:p>
        </w:tc>
        <w:tc>
          <w:tcPr>
            <w:tcW w:w="130"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$  2,688  </w:t>
            </w:r>
          </w:p>
        </w:tc>
        <w:tc>
          <w:tcPr>
            <w:tcW w:w="130"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$  5,031  </w:t>
            </w:r>
          </w:p>
        </w:tc>
        <w:tc>
          <w:tcPr>
            <w:tcW w:w="130"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right"/>
              <w:rPr/>
            </w:pPr>
            <w:r>
              <w:rPr/>
              <w:t>$  5,517  </w:t>
            </w:r>
          </w:p>
        </w:tc>
      </w:tr>
      <w:tr>
        <w:trPr/>
        <w:tc>
          <w:tcPr>
            <w:tcW w:w="311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0"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$  2,150  </w:t>
            </w:r>
          </w:p>
        </w:tc>
        <w:tc>
          <w:tcPr>
            <w:tcW w:w="130"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$  1,517  </w:t>
            </w:r>
          </w:p>
        </w:tc>
        <w:tc>
          <w:tcPr>
            <w:tcW w:w="130"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$  3,938  </w:t>
            </w:r>
          </w:p>
        </w:tc>
        <w:tc>
          <w:tcPr>
            <w:tcW w:w="130"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right"/>
              <w:rPr/>
            </w:pPr>
            <w:r>
              <w:rPr/>
              <w:t>$  3,766  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3"/>
        <w:gridCol w:w="302"/>
        <w:gridCol w:w="140"/>
        <w:gridCol w:w="1096"/>
        <w:gridCol w:w="155"/>
        <w:gridCol w:w="255"/>
        <w:gridCol w:w="176"/>
        <w:gridCol w:w="1239"/>
        <w:gridCol w:w="159"/>
      </w:tblGrid>
      <w:tr>
        <w:trPr/>
        <w:tc>
          <w:tcPr>
            <w:tcW w:w="6683"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8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236"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6" w:type="dxa"/>
            <w:tcBorders/>
            <w:shd w:fill="CCEEFF" w:val="clear"/>
            <w:vAlign w:val="bottom"/>
          </w:tcPr>
          <w:p>
            <w:pPr>
              <w:pStyle w:val="TableContents"/>
              <w:bidi w:val="0"/>
              <w:spacing w:before="0" w:after="283"/>
              <w:jc w:val="right"/>
              <w:rPr/>
            </w:pPr>
            <w:r>
              <w:rPr/>
              <w:t>199,270</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162,051</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9,973</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76,294</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3,514</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3,846</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212,757</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242,191</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1,032</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1,032</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9,675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10,617</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14,333</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15,185</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8,271</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8,546</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6" w:type="dxa"/>
            <w:tcBorders/>
            <w:shd w:fill="CCEEFF" w:val="clear"/>
            <w:vAlign w:val="bottom"/>
          </w:tcPr>
          <w:p>
            <w:pPr>
              <w:pStyle w:val="TableContents"/>
              <w:bidi w:val="0"/>
              <w:spacing w:before="0" w:after="283"/>
              <w:jc w:val="right"/>
              <w:rPr/>
            </w:pPr>
            <w:r>
              <w:rPr/>
              <w:t>246,068</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277,571</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6" w:type="dxa"/>
            <w:tcBorders/>
            <w:vAlign w:val="bottom"/>
          </w:tcPr>
          <w:p>
            <w:pPr>
              <w:pStyle w:val="TableContents"/>
              <w:bidi w:val="0"/>
              <w:spacing w:before="0" w:after="283"/>
              <w:jc w:val="right"/>
              <w:rPr/>
            </w:pPr>
            <w:r>
              <w:rPr/>
              <w:t>15,731</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14,931</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19,625</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24,791</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3,126</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2,908</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38,482</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42,630</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21,525</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23,293</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60,007</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65,923</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175</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149</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1,202,847</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1,128,917</w:t>
            </w:r>
          </w:p>
        </w:tc>
        <w:tc>
          <w:tcPr>
            <w:tcW w:w="159"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(29</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(1,016,879</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(917,389</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186,061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211,648</w:t>
            </w:r>
          </w:p>
        </w:tc>
        <w:tc>
          <w:tcPr>
            <w:tcW w:w="159"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6" w:type="dxa"/>
            <w:tcBorders/>
            <w:vAlign w:val="bottom"/>
          </w:tcPr>
          <w:p>
            <w:pPr>
              <w:pStyle w:val="TableContents"/>
              <w:bidi w:val="0"/>
              <w:spacing w:before="0" w:after="283"/>
              <w:jc w:val="right"/>
              <w:rPr/>
            </w:pPr>
            <w:r>
              <w:rPr/>
              <w:t>246,068</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277,571</w:t>
            </w:r>
          </w:p>
        </w:tc>
        <w:tc>
          <w:tcPr>
            <w:tcW w:w="159"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4" w:name="d119960dex992.htm"/>
      <w:bookmarkStart w:id="5" w:name="ksd119960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573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428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Annexon Expands Vonaprument Phase 3 Program in Geographic Atrophy with Addition of Month 24 Dual Primary Endpoint Complementing Month 15 Primary Endpoint and Launch of Open-Label Extension Study </w:t>
      </w:r>
    </w:p>
    <w:p>
      <w:pPr>
        <w:pStyle w:val="TextBody"/>
        <w:bidi w:val="0"/>
        <w:spacing w:before="240" w:after="0"/>
        <w:jc w:val="center"/>
        <w:rPr>
          <w:rFonts w:ascii="Times New Roman" w:hAnsi="Times New Roman"/>
          <w:i/>
          <w:sz w:val="20"/>
        </w:rPr>
      </w:pPr>
      <w:r>
        <w:rPr>
          <w:rFonts w:ascii="Times New Roman" w:hAnsi="Times New Roman"/>
          <w:i/>
          <w:sz w:val="20"/>
        </w:rPr>
        <w:t xml:space="preserve">Strong Execution of Well-Powered ARCHER II Trial Reaffirms Month 15 Primary Endpoint on Track for Q4 2026 </w:t>
      </w:r>
    </w:p>
    <w:p>
      <w:pPr>
        <w:pStyle w:val="TextBody"/>
        <w:bidi w:val="0"/>
        <w:spacing w:before="240" w:after="0"/>
        <w:jc w:val="center"/>
        <w:rPr>
          <w:rFonts w:ascii="Times New Roman" w:hAnsi="Times New Roman"/>
          <w:i/>
          <w:sz w:val="20"/>
        </w:rPr>
      </w:pPr>
      <w:r>
        <w:rPr>
          <w:rFonts w:ascii="Times New Roman" w:hAnsi="Times New Roman"/>
          <w:i/>
          <w:sz w:val="20"/>
        </w:rPr>
        <w:t xml:space="preserve">Strategic Expansion Underscores Vonaprument’s Best-in-Class Potential as the First and Only Treatment for Vision Preservation in GA </w:t>
      </w:r>
    </w:p>
    <w:p>
      <w:pPr>
        <w:pStyle w:val="TextBody"/>
        <w:bidi w:val="0"/>
        <w:spacing w:before="240" w:after="0"/>
        <w:jc w:val="left"/>
        <w:rPr>
          <w:rFonts w:ascii="Times New Roman" w:hAnsi="Times New Roman"/>
          <w:sz w:val="20"/>
        </w:rPr>
      </w:pPr>
      <w:r>
        <w:rPr>
          <w:rFonts w:ascii="Times New Roman" w:hAnsi="Times New Roman"/>
          <w:b/>
          <w:sz w:val="20"/>
        </w:rPr>
        <w:t>BRISBANE, Calif., August</w:t>
      </w:r>
      <w:r>
        <w:rPr>
          <w:rFonts w:ascii="Times New Roman" w:hAnsi="Times New Roman"/>
          <w:sz w:val="20"/>
        </w:rPr>
        <w:t> </w:t>
      </w:r>
      <w:r>
        <w:rPr>
          <w:rFonts w:ascii="Times New Roman" w:hAnsi="Times New Roman"/>
          <w:b/>
          <w:sz w:val="20"/>
        </w:rPr>
        <w:t xml:space="preserve">12, 2026 – </w:t>
      </w:r>
      <w:r>
        <w:rPr>
          <w:rFonts w:ascii="Times New Roman" w:hAnsi="Times New Roman"/>
          <w:sz w:val="20"/>
        </w:rPr>
        <w:t xml:space="preserve">Annexon, Inc. (Nasdaq: ANNX), a biopharmaceutical company advancing the next generation platform of targeted immunotherapies for multiple neuroinflammatory diseases that impact nearly 10 million people worldwide, today announced the addition of a Month 24 dual primary endpoint to complement the current Month 15 primary endpoint in its Phase 3 ARCHER II trial, and launch of an open-label extension (OLE) study of vonaprument for the treatment of dry age-related macular degeneration (AMD) with geographic atrophy (GA). With a dual primary endpoint strategy, ARCHER II can achieve success in protecting against vision loss at either Month 15 or 24, which are independent efficacy timepoints. </w:t>
      </w:r>
    </w:p>
    <w:p>
      <w:pPr>
        <w:pStyle w:val="TextBody"/>
        <w:bidi w:val="0"/>
        <w:spacing w:before="240" w:after="0"/>
        <w:jc w:val="left"/>
        <w:rPr/>
      </w:pPr>
      <w:r>
        <w:rPr/>
        <w:t>“</w:t>
      </w:r>
      <w:r>
        <w:rPr>
          <w:rFonts w:ascii="Times New Roman" w:hAnsi="Times New Roman"/>
          <w:sz w:val="20"/>
        </w:rPr>
        <w:t xml:space="preserve">Our objective is to maximize the best-in-class potential of vonaprument to preserve visual acuity for millions of patients at risk of irreversible vision loss. The strong power and execution of our Phase 3 ARCHER II trial provide a clear opportunity to seamlessly incorporate a Month 24 dual primary endpoint while maintaining the Month 15 primary endpoint,” said Douglas Love, president and chief executive officer of Annexon. “As ARCHER II was already designed to remain masked through Month 24, this strategic addition allows us to also evaluate the longer-term profile of vonaprument for inclusion into the label without change to the study operation. We look forward to delivering the Month 15 data milestone on schedule in the fourth quarter of this year and delivering Month 24 data thereafter as a separate and additional assessment.” </w:t>
      </w:r>
    </w:p>
    <w:p>
      <w:pPr>
        <w:pStyle w:val="TextBody"/>
        <w:bidi w:val="0"/>
        <w:spacing w:before="240" w:after="0"/>
        <w:jc w:val="left"/>
        <w:rPr>
          <w:rFonts w:ascii="Times New Roman" w:hAnsi="Times New Roman"/>
          <w:sz w:val="20"/>
        </w:rPr>
      </w:pPr>
      <w:r>
        <w:rPr>
          <w:rFonts w:ascii="Times New Roman" w:hAnsi="Times New Roman"/>
          <w:sz w:val="20"/>
        </w:rPr>
        <w:t xml:space="preserve">In the ongoing global, double-masked Phase 3 ARCHER II trial, all eligible patients have received at least 12 months of treatment, with masked event accrual in line with projections. The study retains strong statistical power and continues to be well-executed with a low discontinuation rate (&lt;10%) and high compliance (&gt;95%), reinforcing significant enthusiasm by physicians and patients. Upon completion of Month 24, all patients have the option to receive monthly vonaprument treatment in the OLE study. The OLE study is designed to evaluate the long-term safety and benefit of vonaprument in patients with GA. </w:t>
      </w:r>
    </w:p>
    <w:p>
      <w:pPr>
        <w:pStyle w:val="TextBody"/>
        <w:bidi w:val="0"/>
        <w:spacing w:before="240" w:after="0"/>
        <w:jc w:val="left"/>
        <w:rPr>
          <w:rFonts w:ascii="Times New Roman" w:hAnsi="Times New Roman"/>
          <w:sz w:val="20"/>
        </w:rPr>
      </w:pPr>
      <w:r>
        <w:rPr>
          <w:rFonts w:ascii="Times New Roman" w:hAnsi="Times New Roman"/>
          <w:sz w:val="20"/>
        </w:rPr>
        <w:t xml:space="preserve">An independent Data Monitoring Committee (DMC) will assess the primary endpoint of the overall study at Month 15, and the Company expects to report the DMC’s assessment in the fourth quarter of 2026. Following this assessment, the DMC may recommend that the ARCHER II overall study has met its Month 15 primary endpoint, enabling the planned analysis of the trial’s two sub-studies, with results anticipated in the first quarter of 2027; or it may recommend that the study continues until the Month 24 primary endpoint analysis. Completion of ARCHER II, including the Month 24 analyses, is expected in the third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Vonaprument has received FastTrack Designation from the U.S. Food and Drug Administration and is the only GA program to receive PRIME designation from the European Medicines Agency (EMA). Vonaprument was also selected by EMA for the exclusive Product Development Coordinator (PDC) pilot launched in July 2025 to assist PRIME designation holders in navigating regulatory interactions, including expedited scientific advice, Marketing Authorisation Application submission readiness activities, and ad-hoc queries throughout the development program. </w:t>
      </w:r>
    </w:p>
    <w:p>
      <w:pPr>
        <w:pStyle w:val="TextBody"/>
        <w:bidi w:val="0"/>
        <w:spacing w:before="360" w:after="0"/>
        <w:jc w:val="left"/>
        <w:rPr>
          <w:rFonts w:ascii="Times New Roman" w:hAnsi="Times New Roman"/>
          <w:b/>
          <w:sz w:val="20"/>
        </w:rPr>
      </w:pPr>
      <w:r>
        <w:rPr>
          <w:rFonts w:ascii="Times New Roman" w:hAnsi="Times New Roman"/>
          <w:b/>
          <w:sz w:val="20"/>
        </w:rPr>
        <w:t xml:space="preserve">About Vonaprument (formerly ANX007) </w:t>
      </w:r>
    </w:p>
    <w:p>
      <w:pPr>
        <w:pStyle w:val="TextBody"/>
        <w:bidi w:val="0"/>
        <w:spacing w:before="120" w:after="0"/>
        <w:jc w:val="left"/>
        <w:rPr>
          <w:rFonts w:ascii="Times New Roman" w:hAnsi="Times New Roman"/>
          <w:sz w:val="20"/>
        </w:rPr>
      </w:pPr>
      <w:r>
        <w:rPr>
          <w:rFonts w:ascii="Times New Roman" w:hAnsi="Times New Roman"/>
          <w:sz w:val="20"/>
        </w:rPr>
        <w:t xml:space="preserve">Vonaprument is a clinical-stage investigational antigen-binding fragment (Fab) designed as a first-in-kind therapeutic to selectively inhibit C1q, the initiating molecule of the classical complement pathway and a key driver of neurodegeneration. It is formulated for intravitreal (IVT) administration, with the potential to be the first targeted vision-preserving therapy for GA. Vonaprument involves a differentiated neuroprotective approach designed to protect photoreceptor cells and retinal function by blocking C1q and the entire classical pathway, while allowing for normal immune activity of the lectin and alternative complement pathways. Vonaprument has been granted Fast Track designation from the U.S. Food and Drug Administration (FDA) and is the first therapeutic candidate for the treatment of GA to receive Priority Medicine (PRIME) designation from the EMA for the treatment of GA.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Phase 2 ARCHER Trial </w:t>
      </w:r>
    </w:p>
    <w:p>
      <w:pPr>
        <w:pStyle w:val="TextBody"/>
        <w:bidi w:val="0"/>
        <w:spacing w:before="120" w:after="0"/>
        <w:jc w:val="left"/>
        <w:rPr>
          <w:rFonts w:ascii="Times New Roman" w:hAnsi="Times New Roman"/>
          <w:sz w:val="20"/>
        </w:rPr>
      </w:pPr>
      <w:r>
        <w:rPr>
          <w:rFonts w:ascii="Times New Roman" w:hAnsi="Times New Roman"/>
          <w:sz w:val="20"/>
        </w:rPr>
        <w:t xml:space="preserve">ARCHER is a successfully completed, randomized, multi-center, double-masked, sham-controlled Phase 2 trial that evaluated vonaprument in a broad population of patients with GA. Across multiple measures, vonaprument consistently preserved visual function and ellipsoid zone retinal structure, reinforcing the therapeutic potential of protecting photoreceptor health early in disease progression. Vonaprument provided significant, time and dose-dependent protection from vision loss as measured by confirmed best corrected visual acuity (BCVA) ≥15-letter loss, the widely accepted and clinically meaningful functional endpoint. Significant protection from vision loss was also shown in other prespecified measures of BCVA and visual function, including low luminance visual acuity (LLVA) and low luminance visual deficit (LLVD). Vonaprument was also shown to protect key retinal structures important for vision, including significant protection of photoreceptors as measured by optical coherence tomography (OCT). Vonaprument was generally well-tolerated through month 12, with no increase in choroidal neovascularization (CNV) rates between the treated and sham arms and no events of retinal vasculitis reported.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the Phase 3 ARCHER II Trial </w:t>
      </w:r>
    </w:p>
    <w:p>
      <w:pPr>
        <w:pStyle w:val="TextBody"/>
        <w:bidi w:val="0"/>
        <w:spacing w:before="120" w:after="0"/>
        <w:jc w:val="left"/>
        <w:rPr>
          <w:rFonts w:ascii="Times New Roman" w:hAnsi="Times New Roman"/>
          <w:sz w:val="20"/>
        </w:rPr>
      </w:pPr>
      <w:r>
        <w:rPr>
          <w:rFonts w:ascii="Times New Roman" w:hAnsi="Times New Roman"/>
          <w:sz w:val="20"/>
        </w:rPr>
        <w:t xml:space="preserve">ARCHER II is an ongoing global, pivotal, Phase 3 sham-controlled, double-masked trial of vonaprument in 659 patients with GA, a disease driven by early photoreceptor degeneration leading to vision loss. Enrollment was completed in July 2025. The primary endpoints of this two-year trial are the proportion of patients with confirmed best corrected visual acuity 15-letter loss at two consecutive visits, measured through months 15 and 24. Best corrected visual acuity (BCVA) ≥15-letter loss represents three lines on the standard Early Treatment of Diabetic Retinopathy Study (ETDRS) eye chart. Proportion of patients experiencing BCVA ≥15-letter loss is a well-established functional endpoint that has served as the basis for numerous ophthalmology drug approvals by the FDA and European Medicines Agency. Secondary endpoints in ARCHER II include safety, LLVA, and photoreceptor integrity (EZ). A global registration path has been established with U.S. and European regulators for ARCHER II. ARCHER II is a single protocol that will also be analyzed as two sub-studies after meeting the primary endpoint. Topline results from the Month 15 primary analysis are expected in the fourth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Annexon </w:t>
      </w:r>
    </w:p>
    <w:p>
      <w:pPr>
        <w:pStyle w:val="TextBody"/>
        <w:bidi w:val="0"/>
        <w:spacing w:before="120" w:after="0"/>
        <w:jc w:val="left"/>
        <w:rPr>
          <w:rFonts w:ascii="Times New Roman" w:hAnsi="Times New Roman"/>
          <w:sz w:val="20"/>
        </w:rPr>
      </w:pPr>
      <w:r>
        <w:rPr>
          <w:rFonts w:ascii="Times New Roman" w:hAnsi="Times New Roman"/>
          <w:sz w:val="20"/>
        </w:rPr>
        <w:t>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w:t>
      </w:r>
      <w:r>
        <w:rPr>
          <w:rFonts w:ascii="Times New Roman" w:hAnsi="Times New Roman"/>
          <w:sz w:val="20"/>
          <w:u w:val="single"/>
        </w:rPr>
        <w:t>annexonbio.com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the potential for vonaprument to be the first targeted vision-preserving therapy for GA; timing of and results from the Phase 3 ARCHER II trial, including expected month 15 primary endpoint in the fourth quarter of 2026 and the month 24 dual primary endpoint analyses expected in the third quarter of 2027; planned analysis of the ARCHER II trial’s two sub-studies, with results anticipated in the first quarter of 2027; opportunity for patients to receive monthly vonaprument treatment in the OLE study; the company’s ability to commercialize its product candidates, if approved; and continuing advancement of the company’s portfolio. Forward-looking statements are not guarantees of future performance and are subject to risks and uncertainties that could cause actual results and events to differ materially from those anticipated, including, but not limited to, risks and uncertainties related to: the company’s history of net operating losses; the company’s ability to obtain necessary capital to fund its clinical programs; the potential for delays in the company’s clinical trials; the potential for the company’s product candidates to not receive regulatory approval, including if the FDA and comparable foreign regulatory authorities determine that the company’s submission package is not sufficient or require the company to provide additional data in patients that are not feasible to obtain;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Annual Report on Form 10-K and Quarterly Reports on Form 10-Q and the company’s other filings with the Securities and Exchange Commission.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jallaire@lifesciadvisors.com </w:t>
      </w:r>
    </w:p>
    <w:p>
      <w:pPr>
        <w:pStyle w:val="TextBody"/>
        <w:bidi w:val="0"/>
        <w:spacing w:before="12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Beth Keshishian </w:t>
      </w:r>
    </w:p>
    <w:p>
      <w:pPr>
        <w:pStyle w:val="TextBody"/>
        <w:bidi w:val="0"/>
        <w:spacing w:before="0" w:after="0"/>
        <w:jc w:val="left"/>
        <w:rPr>
          <w:rFonts w:ascii="Times New Roman" w:hAnsi="Times New Roman"/>
          <w:sz w:val="20"/>
        </w:rPr>
      </w:pPr>
      <w:r>
        <w:rPr>
          <w:rFonts w:ascii="Times New Roman" w:hAnsi="Times New Roman"/>
          <w:sz w:val="20"/>
        </w:rPr>
        <w:t xml:space="preserve">917-912-7195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beth@bethkeshishian.com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4415</Words>
  <Characters>25748</Characters>
  <CharactersWithSpaces>30571</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