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3783d8k.htm"/>
      <w:bookmarkStart w:id="1" w:name="ksd11378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ANNEXON,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001-39402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27-5414423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1400 Sierra Point Parkway, Bldg C, Suite 200</w:t>
      </w:r>
    </w:p>
    <w:p>
      <w:pPr>
        <w:pStyle w:val="TextBody"/>
        <w:bidi w:val="0"/>
        <w:spacing w:before="0" w:after="0"/>
        <w:jc w:val="center"/>
        <w:rPr>
          <w:rFonts w:ascii="Times New Roman" w:hAnsi="Times New Roman"/>
          <w:b/>
          <w:sz w:val="20"/>
        </w:rPr>
      </w:pPr>
      <w:r>
        <w:rPr>
          <w:rFonts w:ascii="Times New Roman" w:hAnsi="Times New Roman"/>
          <w:b/>
          <w:sz w:val="20"/>
        </w:rPr>
        <w:t>Brisbane, California 94005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(650) 822-5500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4145"/>
        <w:gridCol w:w="60"/>
        <w:gridCol w:w="740"/>
        <w:gridCol w:w="60"/>
        <w:gridCol w:w="25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ANNX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30, 2026 (the “Effective Date”), Annexon, Inc. (the “Company”) entered into a Loan and Security Agreement (the “Agreement”) with Oxford Finance LLC, as collateral agent (in such capacity, the “Collateral Agent”), and certain lenders from time to time party thereto (collectively, the “Lenders”). The Agreement provides for term loans in an aggregate principal amount of up to $200.0 million.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the Lenders have agreed to make term loans to the Company in multiple tranches, subject to certain conditions. The initial tranche of $50.0 million was funded on the Effective Date, with three additional tranches in an aggregate principal amount of up to $100.0 million available upon the achievement of specified milestones and conditions and one additional uncommitted tranche in an aggregate principal amount of up to $50.0 million available upon the mutual agreement of the Company and the Lenders. The proceeds of the term loans may be used by the Company for working capital and to fund its general business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term loans bear interest at a floating per annum rate equal to the greater of (i) the 1-Month CME Term SOFR plus 4.6% and (ii) 7.60%. The term loans mature on July 1, 2031, or June 1, 2032, depending on the achievement of certain milestones. The Company is required to make monthly payments of interest only until September 1, 2029, which can be extended to September 1, 2030 or September 1, 2031, depending on the achievement of certain milestones, after which monthly payments of both principal and interest will be due. The term loans may be prepaid, in whole or in part, at the option of the Company, subject to customary prepayment fees. The Company is also obligated to pay other customary fees for a loan facility of this size and type, including a final payment fee upon repayment of the term loans (whether at maturity, upon acceleration or by prepayment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Agreement includes customary representations, warranties, and covenants, including financial covenants whereby upon the occurrence of certain events, the Company is required to maintain certain liquidity levels and/or minimum revenue levels, as applicable. The Agreement also includes events of default, which, if triggered, could result in the acceleration of the Company’s repayment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granted the Collateral Agent a security interest in substantially all of its assets to secure its obligations under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Agreement is a summary, and is qualified in its entirety by reference to such document, which is filed herewith as Exhibit 10.1 to this Current Report on Form 8-K, and is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7"/>
        <w:gridCol w:w="9218"/>
      </w:tblGrid>
      <w:tr>
        <w:trPr/>
        <w:tc>
          <w:tcPr>
            <w:tcW w:w="987" w:type="dxa"/>
            <w:tcBorders/>
            <w:vAlign w:val="center"/>
          </w:tcPr>
          <w:p>
            <w:pPr>
              <w:pStyle w:val="TableContents"/>
              <w:bidi w:val="0"/>
              <w:spacing w:before="0" w:after="283"/>
              <w:jc w:val="left"/>
              <w:rPr>
                <w:b/>
              </w:rPr>
            </w:pPr>
            <w:r>
              <w:rPr>
                <w:b/>
              </w:rPr>
              <w:t>Item 2.03.</w:t>
            </w:r>
          </w:p>
        </w:tc>
        <w:tc>
          <w:tcPr>
            <w:tcW w:w="92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of this Current Report on Form 8-K is incorporated herein by reference.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30, 2026, the Company issued a press release announcing that it had entered into the Agreement. A copy of the press release is filed herewith as Exhibit 99.1 and is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6"/>
        <w:gridCol w:w="120"/>
        <w:gridCol w:w="9309"/>
      </w:tblGrid>
      <w:tr>
        <w:trPr/>
        <w:tc>
          <w:tcPr>
            <w:tcW w:w="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9" w:type="dxa"/>
            <w:tcBorders/>
            <w:vAlign w:val="center"/>
          </w:tcPr>
          <w:p>
            <w:pPr>
              <w:pStyle w:val="TableContents"/>
              <w:bidi w:val="0"/>
              <w:spacing w:before="0" w:after="283"/>
              <w:jc w:val="left"/>
              <w:rPr>
                <w:sz w:val="4"/>
                <w:szCs w:val="4"/>
              </w:rPr>
            </w:pPr>
            <w:r>
              <w:rPr>
                <w:sz w:val="4"/>
                <w:szCs w:val="4"/>
              </w:rPr>
            </w:r>
          </w:p>
        </w:tc>
      </w:tr>
      <w:tr>
        <w:trPr/>
        <w:tc>
          <w:tcPr>
            <w:tcW w:w="776" w:type="dxa"/>
            <w:tcBorders>
              <w:bottom w:val="single" w:sz="8" w:space="0" w:color="000000"/>
            </w:tcBorders>
            <w:tcMar>
              <w:bottom w:w="28" w:type="dxa"/>
            </w:tcMar>
            <w:vAlign w:val="center"/>
          </w:tcPr>
          <w:p>
            <w:pPr>
              <w:pStyle w:val="TableContents"/>
              <w:bidi w:val="0"/>
              <w:spacing w:before="0" w:after="283"/>
              <w:jc w:val="center"/>
              <w:rPr/>
            </w:pPr>
            <w:r>
              <w:rPr/>
              <w:t>Exhibit</w:t>
              <w:br/>
              <w:t>No.</w:t>
            </w:r>
          </w:p>
        </w:tc>
        <w:tc>
          <w:tcPr>
            <w:tcW w:w="120" w:type="dxa"/>
            <w:tcBorders/>
            <w:vAlign w:val="center"/>
          </w:tcPr>
          <w:p>
            <w:pPr>
              <w:pStyle w:val="TableContents"/>
              <w:bidi w:val="0"/>
              <w:spacing w:before="0" w:after="283"/>
              <w:jc w:val="left"/>
              <w:rPr/>
            </w:pPr>
            <w:r>
              <w:rPr/>
              <w:t>  </w:t>
            </w:r>
          </w:p>
        </w:tc>
        <w:tc>
          <w:tcPr>
            <w:tcW w:w="9309"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309" w:type="dxa"/>
            <w:tcBorders/>
            <w:vAlign w:val="center"/>
          </w:tcPr>
          <w:p>
            <w:pPr>
              <w:pStyle w:val="TableContents"/>
              <w:bidi w:val="0"/>
              <w:spacing w:before="0" w:after="283"/>
              <w:jc w:val="left"/>
              <w:rPr/>
            </w:pPr>
            <w:hyperlink w:anchor="d113783dex101.htm">
              <w:r>
                <w:rPr>
                  <w:rStyle w:val="InternetLink"/>
                </w:rPr>
                <w:t xml:space="preserve">Loan and Security Agreement by and among Annexon, Inc. and Oxford Finance LLC, as collateral agent, and certain lenders parties thereto, dated July 30, 2026. </w:t>
              </w:r>
            </w:hyperlink>
          </w:p>
        </w:tc>
      </w:tr>
      <w:tr>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309" w:type="dxa"/>
            <w:tcBorders/>
            <w:vAlign w:val="center"/>
          </w:tcPr>
          <w:p>
            <w:pPr>
              <w:pStyle w:val="TableContents"/>
              <w:bidi w:val="0"/>
              <w:spacing w:before="0" w:after="283"/>
              <w:jc w:val="left"/>
              <w:rPr/>
            </w:pPr>
            <w:hyperlink w:anchor="d113783dex991.htm">
              <w:r>
                <w:rPr>
                  <w:rStyle w:val="InternetLink"/>
                </w:rPr>
                <w:t xml:space="preserve">Press release, dated July 30, 2026. </w:t>
              </w:r>
            </w:hyperlink>
          </w:p>
        </w:tc>
      </w:tr>
      <w:tr>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vAlign w:val="center"/>
          </w:tcPr>
          <w:p>
            <w:pPr>
              <w:pStyle w:val="TableContents"/>
              <w:bidi w:val="0"/>
              <w:spacing w:before="0" w:after="283"/>
              <w:jc w:val="left"/>
              <w:rPr/>
            </w:pPr>
            <w:r>
              <w:rPr/>
              <w:t>104.1</w:t>
            </w:r>
          </w:p>
        </w:tc>
        <w:tc>
          <w:tcPr>
            <w:tcW w:w="120" w:type="dxa"/>
            <w:tcBorders/>
            <w:vAlign w:val="center"/>
          </w:tcPr>
          <w:p>
            <w:pPr>
              <w:pStyle w:val="TableContents"/>
              <w:bidi w:val="0"/>
              <w:spacing w:before="0" w:after="283"/>
              <w:jc w:val="left"/>
              <w:rPr/>
            </w:pPr>
            <w:r>
              <w:rPr/>
              <w:t>  </w:t>
            </w:r>
          </w:p>
        </w:tc>
        <w:tc>
          <w:tcPr>
            <w:tcW w:w="9309" w:type="dxa"/>
            <w:tcBorders/>
            <w:vAlign w:val="center"/>
          </w:tcPr>
          <w:p>
            <w:pPr>
              <w:pStyle w:val="TableContents"/>
              <w:bidi w:val="0"/>
              <w:spacing w:before="0" w:after="283"/>
              <w:jc w:val="left"/>
              <w:rPr/>
            </w:pPr>
            <w:r>
              <w:rPr/>
              <w:t>Cover Page Interactive Data File, formatted in inline XBRL.</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exhibits and schedules to this exhibit have been omitted in accordance with Regulation S-K Item 601(a)(5). The Company agrees to furnish a copy of all omitted exhibits and schedules to the SEC upon its request.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portions of this exhibit (indicated by “[**]”) have been omitted in accordance with Regulation S-K Item 601(b)(10)(iv) because the omitted information is not material and is the type of information that the registrant customarily and actually treats as private or confidential. The Company agrees to furnish an unredacted copy of the exhibit to the SEC upon its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573" w:type="dxa"/>
        <w:jc w:val="left"/>
        <w:tblInd w:w="0" w:type="dxa"/>
        <w:tblLayout w:type="fixed"/>
        <w:tblCellMar>
          <w:top w:w="0" w:type="dxa"/>
          <w:left w:w="0" w:type="dxa"/>
          <w:bottom w:w="0" w:type="dxa"/>
          <w:right w:w="0" w:type="dxa"/>
        </w:tblCellMar>
      </w:tblPr>
      <w:tblGrid>
        <w:gridCol w:w="630"/>
        <w:gridCol w:w="996"/>
        <w:gridCol w:w="387"/>
        <w:gridCol w:w="60"/>
        <w:gridCol w:w="365"/>
        <w:gridCol w:w="60"/>
        <w:gridCol w:w="5075"/>
      </w:tblGrid>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013" w:type="dxa"/>
            <w:gridSpan w:val="3"/>
            <w:tcBorders/>
            <w:vAlign w:val="center"/>
          </w:tcPr>
          <w:p>
            <w:pPr>
              <w:pStyle w:val="TableContents"/>
              <w:bidi w:val="0"/>
              <w:spacing w:before="0" w:after="283"/>
              <w:jc w:val="left"/>
              <w:rPr/>
            </w:pPr>
            <w:r>
              <w:rPr/>
              <w:t>Dated: July 30,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b/>
              </w:rPr>
            </w:pPr>
            <w:r>
              <w:rPr>
                <w:b/>
              </w:rPr>
              <w:t>Annexon, Inc.</w:t>
            </w:r>
          </w:p>
        </w:tc>
      </w:tr>
      <w:tr>
        <w:trPr/>
        <w:tc>
          <w:tcPr>
            <w:tcW w:w="630" w:type="dxa"/>
            <w:tcBorders/>
            <w:vAlign w:val="center"/>
          </w:tcPr>
          <w:p>
            <w:pPr>
              <w:pStyle w:val="TableContents"/>
              <w:bidi w:val="0"/>
              <w:spacing w:before="0" w:after="283"/>
              <w:jc w:val="left"/>
              <w:rPr>
                <w:sz w:val="4"/>
                <w:szCs w:val="4"/>
              </w:rPr>
            </w:pPr>
            <w:r>
              <w:rPr>
                <w:sz w:val="4"/>
                <w:szCs w:val="4"/>
              </w:rPr>
            </w:r>
          </w:p>
        </w:tc>
        <w:tc>
          <w:tcPr>
            <w:tcW w:w="13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Lew</w:t>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Jennifer Lew</w:t>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113783dex101.htm"/>
      <w:bookmarkStart w:id="3" w:name="ksd113783dex101"/>
      <w:bookmarkEnd w:id="2"/>
      <w:bookmarkEnd w:id="3"/>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LOAN AND SECURITY AGREEMENT </w:t>
      </w:r>
    </w:p>
    <w:p>
      <w:pPr>
        <w:pStyle w:val="TextBody"/>
        <w:bidi w:val="0"/>
        <w:spacing w:before="240" w:after="0"/>
        <w:jc w:val="left"/>
        <w:rPr>
          <w:rFonts w:ascii="Times New Roman" w:hAnsi="Times New Roman"/>
          <w:sz w:val="20"/>
        </w:rPr>
      </w:pPr>
      <w:r>
        <w:rPr>
          <w:rFonts w:ascii="Times New Roman" w:hAnsi="Times New Roman"/>
          <w:b/>
          <w:sz w:val="20"/>
        </w:rPr>
        <w:t>THIS LOAN AND SECURITY AGREEMENT</w:t>
      </w:r>
      <w:r>
        <w:rPr>
          <w:rFonts w:ascii="Times New Roman" w:hAnsi="Times New Roman"/>
          <w:sz w:val="20"/>
        </w:rPr>
        <w:t xml:space="preserve"> (as the same may from time to time be amended, modified, supplemented or restated, this “</w:t>
      </w:r>
      <w:r>
        <w:rPr>
          <w:rFonts w:ascii="Times New Roman" w:hAnsi="Times New Roman"/>
          <w:b/>
          <w:sz w:val="20"/>
        </w:rPr>
        <w:t>Agreement</w:t>
      </w:r>
      <w:r>
        <w:rPr>
          <w:rFonts w:ascii="Times New Roman" w:hAnsi="Times New Roman"/>
          <w:sz w:val="20"/>
        </w:rPr>
        <w:t>”) dated as of July 30, 2026 (the “</w:t>
      </w:r>
      <w:r>
        <w:rPr>
          <w:rFonts w:ascii="Times New Roman" w:hAnsi="Times New Roman"/>
          <w:b/>
          <w:sz w:val="20"/>
        </w:rPr>
        <w:t>Effective Date</w:t>
      </w:r>
      <w:r>
        <w:rPr>
          <w:rFonts w:ascii="Times New Roman" w:hAnsi="Times New Roman"/>
          <w:sz w:val="20"/>
        </w:rPr>
        <w:t>”) among OXFORD FINANCE LLC, a Delaware limited liability company with an office located at 115 South Union Street, Suite 300, Alexandria, VA 22314 (“</w:t>
      </w:r>
      <w:r>
        <w:rPr>
          <w:rFonts w:ascii="Times New Roman" w:hAnsi="Times New Roman"/>
          <w:b/>
          <w:sz w:val="20"/>
        </w:rPr>
        <w:t>Oxford</w:t>
      </w:r>
      <w:r>
        <w:rPr>
          <w:rFonts w:ascii="Times New Roman" w:hAnsi="Times New Roman"/>
          <w:sz w:val="20"/>
        </w:rPr>
        <w:t>”), as collateral agent (in such capacity, “</w:t>
      </w:r>
      <w:r>
        <w:rPr>
          <w:rFonts w:ascii="Times New Roman" w:hAnsi="Times New Roman"/>
          <w:b/>
          <w:sz w:val="20"/>
        </w:rPr>
        <w:t>Collateral Agent</w:t>
      </w:r>
      <w:r>
        <w:rPr>
          <w:rFonts w:ascii="Times New Roman" w:hAnsi="Times New Roman"/>
          <w:sz w:val="20"/>
        </w:rPr>
        <w:t xml:space="preserve">”), the Lenders listed on </w:t>
      </w:r>
      <w:r>
        <w:rPr>
          <w:rFonts w:ascii="Times New Roman" w:hAnsi="Times New Roman"/>
          <w:sz w:val="20"/>
          <w:u w:val="single"/>
        </w:rPr>
        <w:t>Schedule 1.1</w:t>
      </w:r>
      <w:r>
        <w:rPr>
          <w:rFonts w:ascii="Times New Roman" w:hAnsi="Times New Roman"/>
          <w:sz w:val="20"/>
        </w:rPr>
        <w:t xml:space="preserve"> hereof or otherwise a party hereto from time to time including Oxford in its capacity as a Lender and OXFORD FINANCE CREDIT FUND IV LP, with an office located at 115 South Union Street, Suite 300, Alexandria, VA 22314 (“</w:t>
      </w:r>
      <w:r>
        <w:rPr>
          <w:rFonts w:ascii="Times New Roman" w:hAnsi="Times New Roman"/>
          <w:b/>
          <w:sz w:val="20"/>
        </w:rPr>
        <w:t>OFCF IV</w:t>
      </w:r>
      <w:r>
        <w:rPr>
          <w:rFonts w:ascii="Times New Roman" w:hAnsi="Times New Roman"/>
          <w:sz w:val="20"/>
        </w:rPr>
        <w:t>”) as a Lender, (each a “</w:t>
      </w:r>
      <w:r>
        <w:rPr>
          <w:rFonts w:ascii="Times New Roman" w:hAnsi="Times New Roman"/>
          <w:b/>
          <w:sz w:val="20"/>
        </w:rPr>
        <w:t>Lender</w:t>
      </w:r>
      <w:r>
        <w:rPr>
          <w:rFonts w:ascii="Times New Roman" w:hAnsi="Times New Roman"/>
          <w:sz w:val="20"/>
        </w:rPr>
        <w:t>” and collectively, the “</w:t>
      </w:r>
      <w:r>
        <w:rPr>
          <w:rFonts w:ascii="Times New Roman" w:hAnsi="Times New Roman"/>
          <w:b/>
          <w:sz w:val="20"/>
        </w:rPr>
        <w:t>Lenders</w:t>
      </w:r>
      <w:r>
        <w:rPr>
          <w:rFonts w:ascii="Times New Roman" w:hAnsi="Times New Roman"/>
          <w:sz w:val="20"/>
        </w:rPr>
        <w:t>”), and ANNEXON, INC., a Delaware corporation with offices located at 1400 Sierra Point Parkway, Building C, 2nd Floor, Brisbane, CA 94005 (“</w:t>
      </w:r>
      <w:r>
        <w:rPr>
          <w:rFonts w:ascii="Times New Roman" w:hAnsi="Times New Roman"/>
          <w:b/>
          <w:sz w:val="20"/>
        </w:rPr>
        <w:t>Borrower</w:t>
      </w:r>
      <w:r>
        <w:rPr>
          <w:rFonts w:ascii="Times New Roman" w:hAnsi="Times New Roman"/>
          <w:sz w:val="20"/>
        </w:rPr>
        <w:t xml:space="preserve">”), provides the terms on which the Lenders shall lend to Borrower and Borrower shall repay the Lenders. The parties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ACCOUNTING AND OTHER TERMS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Accounting terms not defined in this Agreement shall be construed in accordance with GAAP. Calculations and determinations must be made in 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Times New Roman" w:hAnsi="Times New Roman"/>
          <w:b/>
          <w:sz w:val="20"/>
        </w:rPr>
        <w:t>Dollars</w:t>
      </w:r>
      <w:r>
        <w:rPr>
          <w:rFonts w:ascii="Times New Roman" w:hAnsi="Times New Roman"/>
          <w:sz w:val="20"/>
        </w:rPr>
        <w:t>” or “</w:t>
      </w:r>
      <w:r>
        <w:rPr>
          <w:rFonts w:ascii="Times New Roman" w:hAnsi="Times New Roman"/>
          <w:b/>
          <w:sz w:val="20"/>
        </w:rPr>
        <w:t>$</w:t>
      </w:r>
      <w:r>
        <w:rPr>
          <w:rFonts w:ascii="Times New Roman" w:hAnsi="Times New Roman"/>
          <w:sz w:val="20"/>
        </w:rPr>
        <w:t>” are United States Dollars, unless otherwise noted. For the avoidance of doubt, any obligations of a Person that are or would have been treated as operating leases or capital leases for purposes of GAAP prior to the issuance by the Financial Accounting Standards Board on February 25, 2016 of an Accounting Standards Update (the “</w:t>
      </w:r>
      <w:r>
        <w:rPr>
          <w:rFonts w:ascii="Times New Roman" w:hAnsi="Times New Roman"/>
          <w:b/>
          <w:sz w:val="20"/>
        </w:rPr>
        <w:t>ASU</w:t>
      </w:r>
      <w:r>
        <w:rPr>
          <w:rFonts w:ascii="Times New Roman" w:hAnsi="Times New Roman"/>
          <w:sz w:val="20"/>
        </w:rPr>
        <w:t xml:space="preserve">”) shall continue to be accounted for as operating leases or capital leases (whether or not such operating lease obligations or capital obligations, as applicable, were in effect on such date) notwithstanding the fact that such obligations are required in accordance with the ASU (on a prospective or retroactive basis or otherwise) to be treated as capitalized lease obligations in accordance with GAAP.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LOANS AND TERMS OF PAYMENT</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Promise to Pay.</w:t>
      </w:r>
      <w:r>
        <w:rPr>
          <w:rFonts w:ascii="Times New Roman" w:hAnsi="Times New Roman"/>
          <w:sz w:val="20"/>
        </w:rPr>
        <w:t xml:space="preserve"> Borrower hereby unconditionally promises to pay each Lender, the outstanding principal amount of all Term Loans advanced to Borrower by such Lender and accrued and unpaid interest thereon and any other amounts due hereunder as and when due in accordance with this Agreement.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Term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Availability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the terms and conditions of this Agreement, the Lenders agree, severally and not jointly, to make term loans to Borrower on the Effective Date in an aggregate amount of Fifty Million Dollars ($50,000,000.00) according to each Lender’s Term A Loan Commitment as set forth on </w:t>
      </w:r>
      <w:r>
        <w:rPr>
          <w:rFonts w:ascii="Times New Roman" w:hAnsi="Times New Roman"/>
          <w:sz w:val="20"/>
          <w:u w:val="single"/>
        </w:rPr>
        <w:t>Schedule 1.1</w:t>
      </w:r>
      <w:r>
        <w:rPr>
          <w:rFonts w:ascii="Times New Roman" w:hAnsi="Times New Roman"/>
          <w:sz w:val="20"/>
        </w:rPr>
        <w:t xml:space="preserve"> hereto (such term loans are hereinafter referred to singly as a “</w:t>
      </w:r>
      <w:r>
        <w:rPr>
          <w:rFonts w:ascii="Times New Roman" w:hAnsi="Times New Roman"/>
          <w:b/>
          <w:sz w:val="20"/>
        </w:rPr>
        <w:t>Term</w:t>
      </w:r>
      <w:r>
        <w:rPr>
          <w:rFonts w:ascii="Times New Roman" w:hAnsi="Times New Roman"/>
          <w:sz w:val="20"/>
        </w:rPr>
        <w:t> </w:t>
      </w:r>
      <w:r>
        <w:rPr>
          <w:rFonts w:ascii="Times New Roman" w:hAnsi="Times New Roman"/>
          <w:b/>
          <w:sz w:val="20"/>
        </w:rPr>
        <w:t>A Loan</w:t>
      </w:r>
      <w:r>
        <w:rPr>
          <w:rFonts w:ascii="Times New Roman" w:hAnsi="Times New Roman"/>
          <w:sz w:val="20"/>
        </w:rPr>
        <w:t>”, and collectively as the “</w:t>
      </w:r>
      <w:r>
        <w:rPr>
          <w:rFonts w:ascii="Times New Roman" w:hAnsi="Times New Roman"/>
          <w:b/>
          <w:sz w:val="20"/>
        </w:rPr>
        <w:t>Term</w:t>
      </w:r>
      <w:r>
        <w:rPr>
          <w:rFonts w:ascii="Times New Roman" w:hAnsi="Times New Roman"/>
          <w:sz w:val="20"/>
        </w:rPr>
        <w:t> </w:t>
      </w:r>
      <w:r>
        <w:rPr>
          <w:rFonts w:ascii="Times New Roman" w:hAnsi="Times New Roman"/>
          <w:b/>
          <w:sz w:val="20"/>
        </w:rPr>
        <w:t>A Loans</w:t>
      </w:r>
      <w:r>
        <w:rPr>
          <w:rFonts w:ascii="Times New Roman" w:hAnsi="Times New Roman"/>
          <w:sz w:val="20"/>
        </w:rPr>
        <w:t xml:space="preserve">”). After repayment, no Term A Loan may be re-borrowed. </w:t>
      </w:r>
    </w:p>
    <w:p>
      <w:pPr>
        <w:pStyle w:val="TextBody"/>
        <w:bidi w:val="0"/>
        <w:spacing w:before="120" w:after="0"/>
        <w:jc w:val="left"/>
        <w:rPr>
          <w:rFonts w:ascii="Times New Roman" w:hAnsi="Times New Roman"/>
          <w:sz w:val="20"/>
        </w:rPr>
      </w:pPr>
      <w:r>
        <w:rPr>
          <w:rFonts w:ascii="Times New Roman" w:hAnsi="Times New Roman"/>
          <w:sz w:val="20"/>
        </w:rPr>
        <w:t xml:space="preserve">(ii) Subject to the terms and conditions of this Agreement, the Lenders agree, severally and not jointly, during the Second Draw Period, to make term loans to Borrower in an aggregate amount up to Twenty Five Million Dollars ($25,000,000.00) according to each Lender’s Term B Loan Commitment as set forth on </w:t>
      </w:r>
      <w:r>
        <w:rPr>
          <w:rFonts w:ascii="Times New Roman" w:hAnsi="Times New Roman"/>
          <w:sz w:val="20"/>
          <w:u w:val="single"/>
        </w:rPr>
        <w:t>Schedule 1.1</w:t>
      </w:r>
      <w:r>
        <w:rPr>
          <w:rFonts w:ascii="Times New Roman" w:hAnsi="Times New Roman"/>
          <w:sz w:val="20"/>
        </w:rPr>
        <w:t xml:space="preserve"> hereto (such term loans are hereinafter referred to singly as a “</w:t>
      </w:r>
      <w:r>
        <w:rPr>
          <w:rFonts w:ascii="Times New Roman" w:hAnsi="Times New Roman"/>
          <w:b/>
          <w:sz w:val="20"/>
        </w:rPr>
        <w:t>Term</w:t>
      </w:r>
      <w:r>
        <w:rPr>
          <w:rFonts w:ascii="Times New Roman" w:hAnsi="Times New Roman"/>
          <w:sz w:val="20"/>
        </w:rPr>
        <w:t> </w:t>
      </w:r>
      <w:r>
        <w:rPr>
          <w:rFonts w:ascii="Times New Roman" w:hAnsi="Times New Roman"/>
          <w:b/>
          <w:sz w:val="20"/>
        </w:rPr>
        <w:t>B Loan</w:t>
      </w:r>
      <w:r>
        <w:rPr>
          <w:rFonts w:ascii="Times New Roman" w:hAnsi="Times New Roman"/>
          <w:sz w:val="20"/>
        </w:rPr>
        <w:t>”, and collectively as the “</w:t>
      </w:r>
      <w:r>
        <w:rPr>
          <w:rFonts w:ascii="Times New Roman" w:hAnsi="Times New Roman"/>
          <w:b/>
          <w:sz w:val="20"/>
        </w:rPr>
        <w:t>Term</w:t>
      </w:r>
      <w:r>
        <w:rPr>
          <w:rFonts w:ascii="Times New Roman" w:hAnsi="Times New Roman"/>
          <w:sz w:val="20"/>
        </w:rPr>
        <w:t> </w:t>
      </w:r>
      <w:r>
        <w:rPr>
          <w:rFonts w:ascii="Times New Roman" w:hAnsi="Times New Roman"/>
          <w:b/>
          <w:sz w:val="20"/>
        </w:rPr>
        <w:t>B Loans</w:t>
      </w:r>
      <w:r>
        <w:rPr>
          <w:rFonts w:ascii="Times New Roman" w:hAnsi="Times New Roman"/>
          <w:sz w:val="20"/>
        </w:rPr>
        <w:t xml:space="preserve">”); provided, however, at Borrower’s option, Borrower may draw less than the entire Term B Loan amount in a single draw only which must be in the amount of at least Ten Million Dollars ($10,000,000.00) and in whole number multiples of Five Million Dollars ($5,000,000.00). Upon the earlier (A) the termination of the Second Draw Period and (B) the funding of the aforementioned single draw, any undrawn portion of the Term B Loan up to a maximum aggregate principal amount of Fifteen Million Dollars ($15,000,000.00) will automatically become available to Borrower as an incremental part of the Term C Loan during the Third Draw Period (if the Third Draw Period commences). After repayment, no Term B Loan may be re-borrowed.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Subject to the terms and conditions of this Agreement, the Lenders agree, severally and not jointly, during the Third Draw Period, to make term loans to Borrower in an aggregate amount up to the sum of (A) Twenty Five Million Dollars ($25,000,000.00) plus (B) any undrawn portion of the Term B Loans in whole number multiples of Five Million Dollars ($5,000,000.00) up to an aggregate amount of Fifteen Million Dollars ($15,000,000.00), according to each Lender’s Term C Loan Commitment as set forth on </w:t>
      </w:r>
      <w:r>
        <w:rPr>
          <w:rFonts w:ascii="Times New Roman" w:hAnsi="Times New Roman"/>
          <w:sz w:val="20"/>
          <w:u w:val="single"/>
        </w:rPr>
        <w:t>Schedule 1.1</w:t>
      </w:r>
      <w:r>
        <w:rPr>
          <w:rFonts w:ascii="Times New Roman" w:hAnsi="Times New Roman"/>
          <w:sz w:val="20"/>
        </w:rPr>
        <w:t xml:space="preserve"> hereto (such term loans are hereinafter referred to singly as a “</w:t>
      </w:r>
      <w:r>
        <w:rPr>
          <w:rFonts w:ascii="Times New Roman" w:hAnsi="Times New Roman"/>
          <w:b/>
          <w:sz w:val="20"/>
        </w:rPr>
        <w:t>Term</w:t>
      </w:r>
      <w:r>
        <w:rPr>
          <w:rFonts w:ascii="Times New Roman" w:hAnsi="Times New Roman"/>
          <w:sz w:val="20"/>
        </w:rPr>
        <w:t> </w:t>
      </w:r>
      <w:r>
        <w:rPr>
          <w:rFonts w:ascii="Times New Roman" w:hAnsi="Times New Roman"/>
          <w:b/>
          <w:sz w:val="20"/>
        </w:rPr>
        <w:t>C Loan</w:t>
      </w:r>
      <w:r>
        <w:rPr>
          <w:rFonts w:ascii="Times New Roman" w:hAnsi="Times New Roman"/>
          <w:sz w:val="20"/>
        </w:rPr>
        <w:t>”, and collectively as the “</w:t>
      </w:r>
      <w:r>
        <w:rPr>
          <w:rFonts w:ascii="Times New Roman" w:hAnsi="Times New Roman"/>
          <w:b/>
          <w:sz w:val="20"/>
        </w:rPr>
        <w:t>Term</w:t>
      </w:r>
      <w:r>
        <w:rPr>
          <w:rFonts w:ascii="Times New Roman" w:hAnsi="Times New Roman"/>
          <w:sz w:val="20"/>
        </w:rPr>
        <w:t> </w:t>
      </w:r>
      <w:r>
        <w:rPr>
          <w:rFonts w:ascii="Times New Roman" w:hAnsi="Times New Roman"/>
          <w:b/>
          <w:sz w:val="20"/>
        </w:rPr>
        <w:t>C Loans</w:t>
      </w:r>
      <w:r>
        <w:rPr>
          <w:rFonts w:ascii="Times New Roman" w:hAnsi="Times New Roman"/>
          <w:sz w:val="20"/>
        </w:rPr>
        <w:t xml:space="preserve">). After repayment, no Term C Loan may be re-borrowed. </w:t>
      </w:r>
    </w:p>
    <w:p>
      <w:pPr>
        <w:pStyle w:val="TextBody"/>
        <w:bidi w:val="0"/>
        <w:spacing w:before="120" w:after="0"/>
        <w:jc w:val="left"/>
        <w:rPr>
          <w:rFonts w:ascii="Times New Roman" w:hAnsi="Times New Roman"/>
          <w:sz w:val="20"/>
        </w:rPr>
      </w:pPr>
      <w:r>
        <w:rPr>
          <w:rFonts w:ascii="Times New Roman" w:hAnsi="Times New Roman"/>
          <w:sz w:val="20"/>
        </w:rPr>
        <w:t xml:space="preserve">(iv) Subject to the terms and conditions of this Agreement, the Lenders agree, severally and not jointly, during the Fourth Draw Period, to make term loans to Borrower in an aggregate amount up to Fifty Million Dollars ($50,000,000.00) according to each Lender’s Term D Loan Commitment as set forth on </w:t>
      </w:r>
      <w:r>
        <w:rPr>
          <w:rFonts w:ascii="Times New Roman" w:hAnsi="Times New Roman"/>
          <w:sz w:val="20"/>
          <w:u w:val="single"/>
        </w:rPr>
        <w:t>Schedule 1.1</w:t>
      </w:r>
      <w:r>
        <w:rPr>
          <w:rFonts w:ascii="Times New Roman" w:hAnsi="Times New Roman"/>
          <w:sz w:val="20"/>
        </w:rPr>
        <w:t xml:space="preserve"> hereto (such term loans are hereinafter referred to singly as a “</w:t>
      </w:r>
      <w:r>
        <w:rPr>
          <w:rFonts w:ascii="Times New Roman" w:hAnsi="Times New Roman"/>
          <w:b/>
          <w:sz w:val="20"/>
        </w:rPr>
        <w:t>Term</w:t>
      </w:r>
      <w:r>
        <w:rPr>
          <w:rFonts w:ascii="Times New Roman" w:hAnsi="Times New Roman"/>
          <w:sz w:val="20"/>
        </w:rPr>
        <w:t> </w:t>
      </w:r>
      <w:r>
        <w:rPr>
          <w:rFonts w:ascii="Times New Roman" w:hAnsi="Times New Roman"/>
          <w:b/>
          <w:sz w:val="20"/>
        </w:rPr>
        <w:t>D Loan</w:t>
      </w:r>
      <w:r>
        <w:rPr>
          <w:rFonts w:ascii="Times New Roman" w:hAnsi="Times New Roman"/>
          <w:sz w:val="20"/>
        </w:rPr>
        <w:t>”, and collectively as the “</w:t>
      </w:r>
      <w:r>
        <w:rPr>
          <w:rFonts w:ascii="Times New Roman" w:hAnsi="Times New Roman"/>
          <w:b/>
          <w:sz w:val="20"/>
        </w:rPr>
        <w:t>Term</w:t>
      </w:r>
      <w:r>
        <w:rPr>
          <w:rFonts w:ascii="Times New Roman" w:hAnsi="Times New Roman"/>
          <w:sz w:val="20"/>
        </w:rPr>
        <w:t> </w:t>
      </w:r>
      <w:r>
        <w:rPr>
          <w:rFonts w:ascii="Times New Roman" w:hAnsi="Times New Roman"/>
          <w:b/>
          <w:sz w:val="20"/>
        </w:rPr>
        <w:t>D Loans</w:t>
      </w:r>
      <w:r>
        <w:rPr>
          <w:rFonts w:ascii="Times New Roman" w:hAnsi="Times New Roman"/>
          <w:sz w:val="20"/>
        </w:rPr>
        <w:t xml:space="preserve">”); provided, however, at Borrower’s option, Borrower may draw less than the entire Term D Loan amount in a single draw only which must be in the amount of at least Twenty Five Million Dollars ($25,000,000.00) and in whole number multiples of Five Million Dollars ($5,000,000.00). Upon the earlier of (A) the termination of the Fourth Draw Period and (B) the funding of the aforementioned single draw, any undrawn portion of the Term D Loan shall automatically be cancelled. After repayment, no Term D Loan may be re-borrowed. </w:t>
      </w:r>
    </w:p>
    <w:p>
      <w:pPr>
        <w:pStyle w:val="TextBody"/>
        <w:bidi w:val="0"/>
        <w:spacing w:before="120" w:after="0"/>
        <w:jc w:val="left"/>
        <w:rPr>
          <w:rFonts w:ascii="Times New Roman" w:hAnsi="Times New Roman"/>
          <w:sz w:val="20"/>
        </w:rPr>
      </w:pPr>
      <w:r>
        <w:rPr>
          <w:rFonts w:ascii="Times New Roman" w:hAnsi="Times New Roman"/>
          <w:sz w:val="20"/>
        </w:rPr>
        <w:t>(v) Subject to the terms and conditions of this Agreement, the Lenders may, in their sole discretion prior to the Amortization Date, upon Borrower’s request, agree to make term loans to Borrower in an aggregate amount equal to Fifty Million Dollars ($50,000,000.00) in a single advance and, if made, according to a commitment schedule to be provided by the Lenders prior to the Funding Date of such term loans (such term loans are hereinafter referred to singly as a “</w:t>
      </w:r>
      <w:r>
        <w:rPr>
          <w:rFonts w:ascii="Times New Roman" w:hAnsi="Times New Roman"/>
          <w:b/>
          <w:sz w:val="20"/>
        </w:rPr>
        <w:t>Term E Loan</w:t>
      </w:r>
      <w:r>
        <w:rPr>
          <w:rFonts w:ascii="Times New Roman" w:hAnsi="Times New Roman"/>
          <w:sz w:val="20"/>
        </w:rPr>
        <w:t>”, and collectively as the “</w:t>
      </w:r>
      <w:r>
        <w:rPr>
          <w:rFonts w:ascii="Times New Roman" w:hAnsi="Times New Roman"/>
          <w:b/>
          <w:sz w:val="20"/>
        </w:rPr>
        <w:t>Term E Loans</w:t>
      </w:r>
      <w:r>
        <w:rPr>
          <w:rFonts w:ascii="Times New Roman" w:hAnsi="Times New Roman"/>
          <w:sz w:val="20"/>
        </w:rPr>
        <w:t>”; each Term A Loan, Term B Loan, Term C Loan, Term D Loan and Term E Loan is hereinafter referred to singly as a “</w:t>
      </w:r>
      <w:r>
        <w:rPr>
          <w:rFonts w:ascii="Times New Roman" w:hAnsi="Times New Roman"/>
          <w:b/>
          <w:sz w:val="20"/>
        </w:rPr>
        <w:t>Term Loan</w:t>
      </w:r>
      <w:r>
        <w:rPr>
          <w:rFonts w:ascii="Times New Roman" w:hAnsi="Times New Roman"/>
          <w:sz w:val="20"/>
        </w:rPr>
        <w:t>”, and the Term A Loans, the Term B Loans, the Term C Loans, the Term D Loans and the Term E Loans are hereinafter referred to collectively as the “</w:t>
      </w:r>
      <w:r>
        <w:rPr>
          <w:rFonts w:ascii="Times New Roman" w:hAnsi="Times New Roman"/>
          <w:b/>
          <w:sz w:val="20"/>
        </w:rPr>
        <w:t>Term Loans</w:t>
      </w:r>
      <w:r>
        <w:rPr>
          <w:rFonts w:ascii="Times New Roman" w:hAnsi="Times New Roman"/>
          <w:sz w:val="20"/>
        </w:rPr>
        <w:t xml:space="preserve">”). After repayment, no Term E Loan may be re-borrowed.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Repayment</w:t>
      </w:r>
      <w:r>
        <w:rPr>
          <w:rFonts w:ascii="Times New Roman" w:hAnsi="Times New Roman"/>
          <w:sz w:val="20"/>
        </w:rPr>
        <w:t xml:space="preserve">. Borrower shall make monthly payments of interest only commencing on the first (1st) Payment Date following the first full calendar month to occur after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last calendar day of the month in which such Term Loan funds. 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Amortization Months. All unpaid principal and accrued and unpaid interest with respect to each Term Loan is due and payable in full on the Maturity Date. Each Term Loan may only be prepaid in accordance with Sections 2.2(c) and 2.2(d).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Mandatory Prepayments</w:t>
      </w:r>
      <w:r>
        <w:rPr>
          <w:rFonts w:ascii="Times New Roman" w:hAnsi="Times New Roman"/>
          <w:sz w:val="20"/>
        </w:rPr>
        <w:t xml:space="preserve">.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 (iv) 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Permitted Prepayment of Term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Borrower shall have the option to prepay all, or less than all, of the Term Loans advanced by the Lenders under this Agreement, provided Borrower (a) provides written notice (which may be conditional) to Collateral Agent of its election to prepay the Term Loans at least fifteen (15) days prior to such prepayment, and (b)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amounts.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Notwithstanding anything herein to the contrary, Borrower shall also have the option to prepay part of Term Loans advanced by the Lenders under this Agreement, provided Borrower (i) provides written notice to Collateral Agent of its election to prepay the Term Loans at least fifteen (15) days prior to such prepayment, (ii) prepays such part of the Term Loans in a denomination that is a whole number multiple of Ten Million Dollars ($10,000,000.00) of principal payment, and (iii) pays to the Lenders on the date of such prepayment, payable to each Lender in accordance with its respective Pro Rata Share, an amount equal to the sum of (A) the portion of outstanding principal of such Term Loans plus accrued and unpaid interest thereon through the prepayment date, (B) the applicable Final Payment with respect to the portion of such Term Loan being prepaid, (C) the Prepayment Fee with respect to the portion of such Term Loan being prepaid, plus (D) all other Obligations that are due and payable, including Lenders’ Expenses and interest at the Default Rate with respect to any past due amounts. For clarity, any partial prepayments shall be applied pro-rata to all outstanding amounts under each Term Loan, and shall be applied pro-rata within each Term Loan tranche to reduce amortization payments under Section 2.2(b) on a pro-rata basis.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rPr>
        <w:t>Payment of Interest on the Credit Extensions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Interest Rate.</w:t>
      </w:r>
      <w:r>
        <w:rPr>
          <w:rFonts w:ascii="Times New Roman" w:hAnsi="Times New Roman"/>
          <w:sz w:val="20"/>
        </w:rPr>
        <w:t xml:space="preserve"> Subject to Section 2.3(b), the principal amount outstanding under the Term Loans shall accrue interest at a floating per annum rate equal to the Basic Rate, determined by Collateral Agent on the Funding Date of the applicable Term Loan and monthly thereafter,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 Rate</w:t>
      </w:r>
      <w:r>
        <w:rPr>
          <w:rFonts w:ascii="Times New Roman" w:hAnsi="Times New Roman"/>
          <w:sz w:val="20"/>
        </w:rPr>
        <w:t>. Immediately upon the occurrence and during the continuance of an Event of Default, Obligations shall accrue interest at a floating per annum rate equal to the rate that is otherwise applicable thereto plus five percentage points (5.00%) (the “</w:t>
      </w:r>
      <w:r>
        <w:rPr>
          <w:rFonts w:ascii="Times New Roman" w:hAnsi="Times New Roman"/>
          <w:b/>
          <w:sz w:val="20"/>
        </w:rPr>
        <w:t>Default Rate</w:t>
      </w:r>
      <w:r>
        <w:rPr>
          <w:rFonts w:ascii="Times New Roman" w:hAnsi="Times New Roman"/>
          <w:sz w:val="20"/>
        </w:rPr>
        <w:t xml:space="preserve">”). Payment or acceptance of the increased interest rate provided in this Section 2.3(b) is not a permitted alternative to timely payment and shall not constitute a waiver of any Event of Default or otherwise prejudice or limit any rights or remedies of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360-Day Year</w:t>
      </w:r>
      <w:r>
        <w:rPr>
          <w:rFonts w:ascii="Times New Roman" w:hAnsi="Times New Roman"/>
          <w:sz w:val="20"/>
        </w:rPr>
        <w:t xml:space="preserve">. Interest shall be computed on the basis of a three hundred sixty (360) day year, and the actual number of days elapsed.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Debit of Accounts</w:t>
      </w:r>
      <w:r>
        <w:rPr>
          <w:rFonts w:ascii="Times New Roman" w:hAnsi="Times New Roman"/>
          <w:sz w:val="20"/>
        </w:rPr>
        <w:t xml:space="preserve">. Collateral Agent and each Lender may debit (or ACH) any deposit accounts (other than Excluded Accounts), maintained by Borrower, including the Designated Deposit Account, for principal and interest payments or any other amounts Borrower owes the Lenders under the Loan Documents when due; provided that, except (i) with respect to debits (or ACH) for regularly scheduled principal and interest and (ii) as otherwise previously authorized by Borrower, Collateral Agent shall endeavor to provide notice of such debit (or ACH) contemporaneously with or promptly after such debit (or ACH), provided, however, that Collateral Agent’s failure to provide such notice shall not constitute a violation of Collateral Agent’s obligations under this Agreement. Any such debits (or ACH activity) shall not constitute a set-off.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Payments</w:t>
      </w:r>
      <w:r>
        <w:rPr>
          <w:rFonts w:ascii="Times New Roman" w:hAnsi="Times New Roman"/>
          <w:sz w:val="20"/>
        </w:rPr>
        <w:t xml:space="preserve">. Except as otherwise expressly provided herein, all payments by Borrower under the Loan Documents shall be made to Collateral Agent (and Collateral Agent shall then make payments to the respective Lender to which such payments are owed), at Collateral Agent’s office in immediately available funds on the date specified herein. Unless otherwise provided, interest is payable monthly on the Payment Date of each month. Payments of principal and/or interest received after 2:00 p.m.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 </w:t>
      </w:r>
    </w:p>
    <w:p>
      <w:pPr>
        <w:pStyle w:val="TextBody"/>
        <w:bidi w:val="0"/>
        <w:spacing w:before="240" w:after="0"/>
        <w:jc w:val="left"/>
        <w:rPr>
          <w:rFonts w:ascii="Times New Roman" w:hAnsi="Times New Roman"/>
          <w:b/>
          <w:sz w:val="20"/>
        </w:rPr>
      </w:pPr>
      <w:r>
        <w:rPr>
          <w:rFonts w:ascii="Times New Roman" w:hAnsi="Times New Roman"/>
          <w:b/>
          <w:sz w:val="20"/>
        </w:rPr>
        <w:t xml:space="preserve">2.4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w:t>
      </w:r>
      <w:r>
        <w:rPr>
          <w:rFonts w:ascii="Times New Roman" w:hAnsi="Times New Roman"/>
          <w:b/>
          <w:sz w:val="20"/>
        </w:rPr>
        <w:t>Fees.</w:t>
      </w:r>
      <w:r>
        <w:rPr>
          <w:rFonts w:ascii="Times New Roman" w:hAnsi="Times New Roman"/>
          <w:sz w:val="20"/>
        </w:rPr>
        <w:t xml:space="preserve"> Borrower shall pay to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Good Faith Deposit</w:t>
      </w:r>
      <w:r>
        <w:rPr>
          <w:rFonts w:ascii="Times New Roman" w:hAnsi="Times New Roman"/>
          <w:sz w:val="20"/>
        </w:rPr>
        <w:t xml:space="preserve">. An amount of $75,000 has been received by Collateral Agent as a good faith deposit from Borrower on or about July 1, 2026, which amount shall be applied towards the Lenders’ Expenses due under Section 2.5(e) that have been incurred through the Effective Date, with the balance, if any, towards the facility fee due under Section 2.5(b). Borrower shall be responsible for the entire amount of the Lenders’ Expenses payable under Section 2.5(e) and for the entire amount of facility fee due under Section 2.5(b);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Facility Fee</w:t>
      </w:r>
      <w:r>
        <w:rPr>
          <w:rFonts w:ascii="Times New Roman" w:hAnsi="Times New Roman"/>
          <w:sz w:val="20"/>
        </w:rPr>
        <w:t xml:space="preserve">. A non-refundable facility to be shared between the Lenders pursuant to their respective Commitment Percentages payable as follows: an amount equal to 1.00% of the aggregate principal amount of each Term Loan funded shall be fully earned as a facility fee with respect to such Term Loan and become due and payable on the Funding Date of such Term Loan.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Final Payment</w:t>
      </w:r>
      <w:r>
        <w:rPr>
          <w:rFonts w:ascii="Times New Roman" w:hAnsi="Times New Roman"/>
          <w:sz w:val="20"/>
        </w:rPr>
        <w:t xml:space="preserve">. The Final Payment, when due hereunder, to be shared between the Lenders in accordance with their respective Pro Rata Shares;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Prepayment Fee</w:t>
      </w:r>
      <w:r>
        <w:rPr>
          <w:rFonts w:ascii="Times New Roman" w:hAnsi="Times New Roman"/>
          <w:sz w:val="20"/>
        </w:rPr>
        <w:t xml:space="preserve">. The Prepayment Fee, when due hereunder, to be shared between the Lenders in accordance with their respective Pro Rata Shares; and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Lenders’ Expenses</w:t>
      </w:r>
      <w:r>
        <w:rPr>
          <w:rFonts w:ascii="Times New Roman" w:hAnsi="Times New Roman"/>
          <w:sz w:val="20"/>
        </w:rPr>
        <w:t xml:space="preserve">. All Lenders’ Expenses (including reasonable and documented attorneys’ fees and expenses for documentation and negotiation of this Agreement) incurred through and after the Effective Date, when due. </w:t>
      </w:r>
    </w:p>
    <w:p>
      <w:pPr>
        <w:pStyle w:val="TextBody"/>
        <w:bidi w:val="0"/>
        <w:spacing w:before="24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w:t>
      </w:r>
      <w:r>
        <w:rPr>
          <w:rFonts w:ascii="Times New Roman" w:hAnsi="Times New Roman"/>
          <w:b/>
          <w:sz w:val="20"/>
        </w:rPr>
        <w:t>Withholding.</w:t>
      </w:r>
      <w:r>
        <w:rPr>
          <w:rFonts w:ascii="Times New Roman" w:hAnsi="Times New Roman"/>
          <w:sz w:val="20"/>
        </w:rPr>
        <w:t xml:space="preserve"> Payments received by the Lenders from Borrower hereunder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w:t>
      </w:r>
      <w:r>
        <w:rPr>
          <w:rFonts w:ascii="Times New Roman" w:hAnsi="Times New Roman"/>
          <w:b/>
          <w:sz w:val="20"/>
        </w:rPr>
        <w:t>Taxes</w:t>
      </w:r>
      <w:r>
        <w:rPr>
          <w:rFonts w:ascii="Times New Roman" w:hAnsi="Times New Roman"/>
          <w:sz w:val="20"/>
        </w:rPr>
        <w:t>”). Specifically, however, if at any time any Governmental Authority, applicable law, regulation or international agreement requires Borrower to make any withholding or deduction for Taxes from any such payment or other sum payable hereunder to the Lenders, and such Tax is not an Excluded Tax (as defined below),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(the “</w:t>
      </w:r>
      <w:r>
        <w:rPr>
          <w:rFonts w:ascii="Times New Roman" w:hAnsi="Times New Roman"/>
          <w:b/>
          <w:sz w:val="20"/>
        </w:rPr>
        <w:t>Withholding Tax Indemnity Amount</w:t>
      </w:r>
      <w:r>
        <w:rPr>
          <w:rFonts w:ascii="Times New Roman" w:hAnsi="Times New Roman"/>
          <w:sz w:val="20"/>
        </w:rPr>
        <w:t>”), provided however, that Borrower’s obligation to increase such payment or other sum payable hereunder shall not be increased by or include (a) Taxes imposed on or measured by net income (however denominated), franchise Taxes, and branch profits Taxes, in each case, (i) imposed as a result of a Recipient being organized under the laws of, or having its principal office or, in the case of a Lender, its applicable lending office located in, the jurisdiction imposing such Tax (or any political subdivision thereof), or (ii) as a result of a present or former connection between the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 (b) U.S. federal withholding Taxes imposed on amounts payable to or for the account of the Lenders with respect to the Term Loans pursuant to a law in effect on the date on which (i) such Lender acquires such interest in the Term Loan or (ii) such Lender changes its lending office, except in each case to the extent that amounts with respect to such Taxes were payable either to such Lender’s assignor immediately before such Lender became a party hereto or to such Lender immediately before it changed its lending office, or (c) any U.S. federal withholding Taxes imposed under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w:t>
      </w:r>
      <w:r>
        <w:rPr>
          <w:rFonts w:ascii="Times New Roman" w:hAnsi="Times New Roman"/>
          <w:b/>
          <w:sz w:val="20"/>
        </w:rPr>
        <w:t>Excluded Taxes</w:t>
      </w:r>
      <w:r>
        <w:rPr>
          <w:rFonts w:ascii="Times New Roman" w:hAnsi="Times New Roman"/>
          <w:sz w:val="20"/>
        </w:rPr>
        <w:t xml:space="preserve">”).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On or before the date of this Agreement, each Lender shall deliver, and upon a Lender Transfer, the applicable successor or assign shall deliver, to Borrower, a correct, complete and properly executed Internal Revenue Service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Form W-9, IRS Form W-8BEN-E, IRS W-8ECI or W-8IMY, as applicable, as well as any applicable necessary supporting documentation or certifications, and any similar or successor certificate designated by the Internal Revenue Service certifying that such Lender is exempt from U.S. federal backup withholding tax (a “</w:t>
      </w:r>
      <w:r>
        <w:rPr>
          <w:rFonts w:ascii="Times New Roman" w:hAnsi="Times New Roman"/>
          <w:b/>
          <w:sz w:val="20"/>
        </w:rPr>
        <w:t>Tax Certificate</w:t>
      </w:r>
      <w:r>
        <w:rPr>
          <w:rFonts w:ascii="Times New Roman" w:hAnsi="Times New Roman"/>
          <w:sz w:val="20"/>
        </w:rPr>
        <w:t xml:space="preserve">”). Each Lender agrees that if any Tax Certificate it previously delivered expires or becomes obsolete or inaccurate in any respect, it shall update such Tax Certificate or promptly notify the Borrower in writing of its legal inability to do so. Notwithstanding anything to the contrary in this Section 2.6, if a Lender fails to deliver a Tax Certificate, Borrower shall not be required to pay the Withholding Tax Indemnity Amount, if any, unless and until such Lender delivers the Tax Certificate. The agreements and obligations of Borrower contained in this Section 2.6 shall survive the termination of this Agreement. On or prior to the date the Collateral Agent becomes a party to this Agreement, (i) with respect to any amounts payable under any Loan Document to the Collateral Agent for its own account, the Collateral Agent shall deliver to Borrower an executed copy of an applicable IRS Form W-9, and (ii) with respect to any amounts payable under any Loan Document to the Collateral Agent for the account of a non-U.S. person, the Collateral Agent represents that it is a “financial institution” within the meaning of Treasury Regulation Section 1.1441-1(c)(5) and, shall deliver to Borrower an executed copy of IRS Form of an applicable IRS Form W-9.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CONDITIONS OF LOANS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Conditions Precedent to Initial Credit Extension.</w:t>
      </w:r>
      <w:r>
        <w:rPr>
          <w:rFonts w:ascii="Times New Roman" w:hAnsi="Times New Roman"/>
          <w:sz w:val="20"/>
        </w:rPr>
        <w:t xml:space="preserve"> Each Lender’s obligation to make a Term A Loan on the Effective Date is subject to the condition 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(a) original Loan Documents, each duly executed by Borrower, as applicable; </w:t>
      </w:r>
    </w:p>
    <w:p>
      <w:pPr>
        <w:pStyle w:val="TextBody"/>
        <w:bidi w:val="0"/>
        <w:spacing w:before="120" w:after="0"/>
        <w:jc w:val="left"/>
        <w:rPr>
          <w:rFonts w:ascii="Times New Roman" w:hAnsi="Times New Roman"/>
          <w:sz w:val="20"/>
        </w:rPr>
      </w:pPr>
      <w:r>
        <w:rPr>
          <w:rFonts w:ascii="Times New Roman" w:hAnsi="Times New Roman"/>
          <w:sz w:val="20"/>
        </w:rPr>
        <w:t xml:space="preserve">(b) subject to the Post Closing Letter, duly executed original Control Agreements with respect to any Collateral Accounts (other than Excluded Accounts) maintained by Borrower;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(d) the Operating Documents and good standing certificates of Borrower certified by the Secretary of State (or equivalent agency) of Borrower’s jurisdiction of organization or formation and each jurisdiction in which Borrower is qualified to conduct business where failure to be so qualified could reasonably be expected to have a Material Adverse Change, each as of a date no earlier than thirty (30) days prior to the Effective Date</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a completed Perfection Certificate for Borrower and each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(f) the Annual Projections, for the current calendar year; </w:t>
      </w:r>
    </w:p>
    <w:p>
      <w:pPr>
        <w:pStyle w:val="TextBody"/>
        <w:bidi w:val="0"/>
        <w:spacing w:before="120" w:after="0"/>
        <w:jc w:val="left"/>
        <w:rPr>
          <w:rFonts w:ascii="Times New Roman" w:hAnsi="Times New Roman"/>
          <w:sz w:val="20"/>
        </w:rPr>
      </w:pPr>
      <w:r>
        <w:rPr>
          <w:rFonts w:ascii="Times New Roman" w:hAnsi="Times New Roman"/>
          <w:sz w:val="20"/>
        </w:rPr>
        <w:t xml:space="preserve">(g) duly executed original officer’s certificate for Borrower, in a form acceptable to Collateral Agent and the Lenders; </w:t>
      </w:r>
    </w:p>
    <w:p>
      <w:pPr>
        <w:pStyle w:val="TextBody"/>
        <w:bidi w:val="0"/>
        <w:spacing w:before="120" w:after="0"/>
        <w:jc w:val="left"/>
        <w:rPr>
          <w:rFonts w:ascii="Times New Roman" w:hAnsi="Times New Roman"/>
          <w:sz w:val="20"/>
        </w:rPr>
      </w:pPr>
      <w:r>
        <w:rPr>
          <w:rFonts w:ascii="Times New Roman" w:hAnsi="Times New Roman"/>
          <w:sz w:val="20"/>
        </w:rPr>
        <w:t xml:space="preserve">(h) 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 </w:t>
      </w:r>
    </w:p>
    <w:p>
      <w:pPr>
        <w:pStyle w:val="TextBody"/>
        <w:bidi w:val="0"/>
        <w:spacing w:before="120" w:after="0"/>
        <w:jc w:val="left"/>
        <w:rPr>
          <w:rFonts w:ascii="Times New Roman" w:hAnsi="Times New Roman"/>
          <w:sz w:val="20"/>
        </w:rPr>
      </w:pPr>
      <w:r>
        <w:rPr>
          <w:rFonts w:ascii="Times New Roman" w:hAnsi="Times New Roman"/>
          <w:sz w:val="20"/>
        </w:rPr>
        <w:t xml:space="preserve">(i) subject to the Post Closing Letter, a landlord’s consent executed in favor of Collateral Agent in respect of all of Borrower’s leased locations in the United States of America where Borrower maintains Collateral (except with respect to Inventory in-transit, mobile equipment, and Collateral at clinical sites, with contract manufacturers, wholesalers, resellers, other vendors and their approved subcontractors, which hold noncommercial drug inventory, R&amp;D materials, clinical and commercial drug product, or drug raw material and drug work in process inventory) having a book value in excess of One Million Dollars ($1,000,000.00);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a bailee waiver executed in favor of Collateral Agent in respect of each third party bailee in the United States of America where Borrower maintains Collateral (except with respect to Inventory in-transit, mobile equipment, and Collateral at clinical sites, with contract manufacturers, wholesalers, resellers, other vendors and their approved subcontractors, which hold noncommercial drug inventory, R&amp;D materials, clinical and commercial drug product, or drug raw material and drug work in process inventory) having a fair market value in excess of One Million Dollars ($1,000,000.00); </w:t>
      </w:r>
    </w:p>
    <w:p>
      <w:pPr>
        <w:pStyle w:val="TextBody"/>
        <w:bidi w:val="0"/>
        <w:spacing w:before="120" w:after="0"/>
        <w:jc w:val="left"/>
        <w:rPr>
          <w:rFonts w:ascii="Times New Roman" w:hAnsi="Times New Roman"/>
          <w:sz w:val="20"/>
        </w:rPr>
      </w:pPr>
      <w:r>
        <w:rPr>
          <w:rFonts w:ascii="Times New Roman" w:hAnsi="Times New Roman"/>
          <w:sz w:val="20"/>
        </w:rPr>
        <w:t xml:space="preserve">(k) a duly executed legal opinion of counsel to Borrower dated as of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(l) 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 and </w:t>
      </w:r>
    </w:p>
    <w:p>
      <w:pPr>
        <w:pStyle w:val="TextBody"/>
        <w:bidi w:val="0"/>
        <w:spacing w:before="120" w:after="0"/>
        <w:jc w:val="left"/>
        <w:rPr>
          <w:rFonts w:ascii="Times New Roman" w:hAnsi="Times New Roman"/>
          <w:sz w:val="20"/>
        </w:rPr>
      </w:pPr>
      <w:r>
        <w:rPr>
          <w:rFonts w:ascii="Times New Roman" w:hAnsi="Times New Roman"/>
          <w:sz w:val="20"/>
        </w:rPr>
        <w:t xml:space="preserve">(m) payment of the fees and Lenders’ Expenses then due as specified in Section 2.5 hereof.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Conditions Precedent to all Credit Extensions.</w:t>
      </w:r>
      <w:r>
        <w:rPr>
          <w:rFonts w:ascii="Times New Roman" w:hAnsi="Times New Roman"/>
          <w:sz w:val="20"/>
        </w:rPr>
        <w:t xml:space="preserve"> The obligation of each Lender to make each Credit Extension, including the initial Credit Extension, is subject to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receipt by Collateral Agent of an executed Disbursement Letter in the form of </w:t>
      </w:r>
      <w:r>
        <w:rPr>
          <w:rFonts w:ascii="Times New Roman" w:hAnsi="Times New Roman"/>
          <w:sz w:val="20"/>
          <w:u w:val="single"/>
        </w:rPr>
        <w:t>Exhibit B</w:t>
      </w:r>
      <w:r>
        <w:rPr>
          <w:rFonts w:ascii="Times New Roman" w:hAnsi="Times New Roman"/>
          <w:sz w:val="20"/>
        </w:rPr>
        <w:t xml:space="preserve"> attached hereto; </w:t>
      </w:r>
    </w:p>
    <w:p>
      <w:pPr>
        <w:pStyle w:val="TextBody"/>
        <w:bidi w:val="0"/>
        <w:spacing w:before="120" w:after="0"/>
        <w:jc w:val="left"/>
        <w:rPr>
          <w:rFonts w:ascii="Times New Roman" w:hAnsi="Times New Roman"/>
          <w:sz w:val="20"/>
        </w:rPr>
      </w:pPr>
      <w:r>
        <w:rPr>
          <w:rFonts w:ascii="Times New Roman" w:hAnsi="Times New Roman"/>
          <w:sz w:val="20"/>
        </w:rPr>
        <w:t xml:space="preserve">(b) the representations and warranties in Section 5 hereof shall be true, accurate and complete in all material respects on the date of the Disbursement Letter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(c) in such Lender’s sole discretion, there has not been any Material Adverse Change; and </w:t>
      </w:r>
    </w:p>
    <w:p>
      <w:pPr>
        <w:pStyle w:val="TextBody"/>
        <w:bidi w:val="0"/>
        <w:spacing w:before="120" w:after="0"/>
        <w:jc w:val="left"/>
        <w:rPr>
          <w:rFonts w:ascii="Times New Roman" w:hAnsi="Times New Roman"/>
          <w:sz w:val="20"/>
        </w:rPr>
      </w:pPr>
      <w:r>
        <w:rPr>
          <w:rFonts w:ascii="Times New Roman" w:hAnsi="Times New Roman"/>
          <w:sz w:val="20"/>
        </w:rPr>
        <w:t xml:space="preserve">(d) payment of the fees and Lenders’ Expenses then due as specified in Section 2.5 hereof.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Covenant to Deliver.</w:t>
      </w:r>
      <w:r>
        <w:rPr>
          <w:rFonts w:ascii="Times New Roman" w:hAnsi="Times New Roman"/>
          <w:sz w:val="20"/>
        </w:rPr>
        <w:t xml:space="preserve"> Borrower agrees to deliver to Collateral Agent (for distribution to the Lenders) each item required to be delivered to Collateral Agent under 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 </w:t>
      </w:r>
    </w:p>
    <w:p>
      <w:pPr>
        <w:pStyle w:val="TextBody"/>
        <w:bidi w:val="0"/>
        <w:spacing w:before="240" w:after="0"/>
        <w:jc w:val="left"/>
        <w:rPr>
          <w:rFonts w:ascii="Times New Roman" w:hAnsi="Times New Roman"/>
          <w:sz w:val="20"/>
        </w:rPr>
      </w:pPr>
      <w:r>
        <w:rPr>
          <w:rFonts w:ascii="Times New Roman" w:hAnsi="Times New Roman"/>
          <w:b/>
          <w:sz w:val="20"/>
        </w:rPr>
        <w:t>3.4</w:t>
      </w:r>
      <w:r>
        <w:rPr>
          <w:rFonts w:ascii="Times New Roman" w:hAnsi="Times New Roman"/>
          <w:sz w:val="20"/>
        </w:rPr>
        <w:t xml:space="preserve"> </w:t>
      </w:r>
      <w:r>
        <w:rPr>
          <w:rFonts w:ascii="Times New Roman" w:hAnsi="Times New Roman"/>
          <w:b/>
          <w:sz w:val="20"/>
        </w:rPr>
        <w:t>Procedures for Borrowing.</w:t>
      </w:r>
      <w:r>
        <w:rPr>
          <w:rFonts w:ascii="Times New Roman" w:hAnsi="Times New Roman"/>
          <w:sz w:val="20"/>
        </w:rPr>
        <w:t xml:space="preserve"> Subject to the prior satisfaction of all other applicable conditions to the making of a Term Loan set forth in this Agreement, to obtain a Term Loan, Borrower shall notify the Collateral Agent (for distribution to the Lenders) (which notice shall be irrevocable) by electronic mail, facsimile, or telephone by 2:00 p.m. Eastern time ten (10) Business Days prior to the date the Term Loan is to be made; provided that the foregoing notice requirement is not applicable to the Term Loans advanced on the Effective Date. Together with any such electronic, facsimile or telephonic notification, Borrower shall deliver to the Collateral Agent (for disbursement to the Lenders) by electronic mail or facsimile a completed Disbursement Letter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CREATION OF SECURITY INTEREST</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rPr>
        <w:t>Grant of Security Interest.</w:t>
      </w:r>
      <w:r>
        <w:rPr>
          <w:rFonts w:ascii="Times New Roman" w:hAnsi="Times New Roman"/>
          <w:sz w:val="20"/>
        </w:rPr>
        <w:t xml:space="preserve"> Borrower hereby grants Collateral Agent, for the ratable benefit of the Lenders, to secure the payment and 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If Borrower shall acquire a commercial tort claim (as defined in the Code) with a value in excess of Two Hundred Fifty Thousand Dollars ($250,000.00),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 and for the purposes thereof execute such documents and take such other steps as are reasonably necessary to give effect to such Lien releases.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Authorization to File Financing Statements.</w:t>
      </w:r>
      <w:r>
        <w:rPr>
          <w:rFonts w:ascii="Times New Roman" w:hAnsi="Times New Roman"/>
          <w:sz w:val="20"/>
        </w:rPr>
        <w:t xml:space="preserve"> Borrower hereby authorizes Collateral Agent to file financing statements or take any other action 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Pledge of Collateral.</w:t>
      </w:r>
      <w:r>
        <w:rPr>
          <w:rFonts w:ascii="Times New Roman" w:hAnsi="Times New Roman"/>
          <w:sz w:val="20"/>
        </w:rPr>
        <w:t xml:space="preserve"> Borrower hereby pledges, assigns and grants to Collateral Agent, for the ratable benefit of the Lenders,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to the extent not certificated as of the Effective Date, within ten (10) days of the certification of any Shares,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 provided that, upon the waiver in writing of any such Event of Default, all such rights shall revert to the Borrower.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REPRESENTATIONS AND WARRANTIES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Borrower represents and warrants to Collateral Agent and the Lenders as follows: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Due Organization, Authorization: Power and Authority.</w:t>
      </w:r>
      <w:r>
        <w:rPr>
          <w:rFonts w:ascii="Times New Roman" w:hAnsi="Times New Roman"/>
          <w:sz w:val="20"/>
        </w:rPr>
        <w:t xml:space="preserve"> Borrower and each of its Subsidiaries is duly existing and in good standing as a Registered Organization in its jurisdictions of organization or formation and Borrower and each of its Subsidiaries is qualified and licensed to do business and is in good standing in any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which the conduct of its businesses or its ownership of property requires that it be qualified except where the failure to do so could not reasonably be expected to have a Material Adverse Change. In connection with this Agreement, Borrower has delivered to Collateral Agent a completed perfection certificate signed by an officer of Borrower (the “</w:t>
      </w:r>
      <w:r>
        <w:rPr>
          <w:rFonts w:ascii="Times New Roman" w:hAnsi="Times New Roman"/>
          <w:b/>
          <w:sz w:val="20"/>
        </w:rPr>
        <w:t>Perfection Certificate</w:t>
      </w:r>
      <w:r>
        <w:rPr>
          <w:rFonts w:ascii="Times New Roman" w:hAnsi="Times New Roman"/>
          <w:sz w:val="20"/>
        </w:rPr>
        <w:t xml:space="preserve">”). Borrower represents and warrants that, except as disclosed to the Collateral Agent in accordance with Section 7.2, (a) Borrower and each of its Subsidiaries’ exact legal name is that which is indicated on its respective Perfection Certificate and on the signature page of each Loan Document to which it is a party; (b) Borrower and each of its Subsidiaries is an organization of the type and is organized in the jurisdiction set forth on its respective Perfection Certificate; (c) 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 and each of its Subsidiaries’ mailing address (if different than its chief executive office); (e) except as set forth in the Perfection Certificate, Borrower and each of its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in all material respects (it being understood and agreed that Borrower and each of its Subsidiaries may from time to time update certain information in the Perfection Certificates (including the information set forth in clause (d) above) after the Effective Date to the extent permitted or required by one or more specific provisions in this Agreement).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 </w:t>
      </w:r>
    </w:p>
    <w:p>
      <w:pPr>
        <w:pStyle w:val="TextBody"/>
        <w:bidi w:val="0"/>
        <w:spacing w:before="240" w:after="0"/>
        <w:jc w:val="left"/>
        <w:rPr>
          <w:rFonts w:ascii="Times New Roman" w:hAnsi="Times New Roman"/>
          <w:sz w:val="20"/>
        </w:rPr>
      </w:pPr>
      <w:r>
        <w:rPr>
          <w:rFonts w:ascii="Times New Roman" w:hAnsi="Times New Roman"/>
          <w:sz w:val="20"/>
        </w:rPr>
        <w:t xml:space="preserve">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 </w:t>
      </w:r>
    </w:p>
    <w:p>
      <w:pPr>
        <w:pStyle w:val="TextBody"/>
        <w:bidi w:val="0"/>
        <w:spacing w:before="240" w:after="0"/>
        <w:jc w:val="left"/>
        <w:rPr>
          <w:rFonts w:ascii="Times New Roman" w:hAnsi="Times New Roman"/>
          <w:b/>
          <w:sz w:val="20"/>
        </w:rPr>
      </w:pPr>
      <w:r>
        <w:rPr>
          <w:rFonts w:ascii="Times New Roman" w:hAnsi="Times New Roman"/>
          <w:b/>
          <w:sz w:val="20"/>
        </w:rPr>
        <w:t xml:space="preserve">5.2 Collateral. </w:t>
      </w:r>
    </w:p>
    <w:p>
      <w:pPr>
        <w:pStyle w:val="TextBody"/>
        <w:bidi w:val="0"/>
        <w:spacing w:before="120" w:after="0"/>
        <w:jc w:val="left"/>
        <w:rPr>
          <w:rFonts w:ascii="Times New Roman" w:hAnsi="Times New Roman"/>
          <w:sz w:val="20"/>
        </w:rPr>
      </w:pPr>
      <w:r>
        <w:rPr>
          <w:rFonts w:ascii="Times New Roman" w:hAnsi="Times New Roman"/>
          <w:sz w:val="20"/>
        </w:rPr>
        <w:t xml:space="preserve">(a) Borrower has good title to, have rights in, and the power to transfer each item of the Collateral upon which it purports to grant a Lien under the Loan Documents, free and clear of any and all Liens except Permitted Liens, and Borrower has no Deposit Accounts, Securities Accounts, Commodity Accounts or other investment accounts other than the Collateral Accounts or the other investment accounts, if any, described in the Perfection Certificates delivered to Collateral Agent in connection herewith (as the same may be updated from time to time in accordance with Section 6.6) with respect of which Borrower or such Subsidiary has given Collateral Agent notice and, other than with respect to any Excluded Accounts, taken such actions as are necessary to give Collateral Agent a perfected security interest therein. The Accounts are bona fide, existing obligations of the Account Debtors. </w:t>
      </w:r>
    </w:p>
    <w:p>
      <w:pPr>
        <w:pStyle w:val="TextBody"/>
        <w:bidi w:val="0"/>
        <w:spacing w:before="120" w:after="0"/>
        <w:jc w:val="left"/>
        <w:rPr>
          <w:rFonts w:ascii="Times New Roman" w:hAnsi="Times New Roman"/>
          <w:sz w:val="20"/>
        </w:rPr>
      </w:pPr>
      <w:r>
        <w:rPr>
          <w:rFonts w:ascii="Times New Roman" w:hAnsi="Times New Roman"/>
          <w:sz w:val="20"/>
        </w:rPr>
        <w:t xml:space="preserve">(b) On the Effective Date, and except as disclosed on the Perfection Certificate (i) the Collateral is not in the possession of any third party bailee (such as a warehouse), and (ii) no such third party bailee possesses components of the Collateral with an aggregate fair market value in excess of One Million Dollars ($1,000,000.00). None of the components of the Collateral (other than Inventory in-transit and mobile equipment) shall be maintained at locations other than as disclosed in the Perfection Certificates on the Effective Date, at clinical sites, with contract manufacturers, wholesalers, resellers, other vendors and their approved subcontractors, which hold non-commercial drug inventory, R&amp;D materials, clinical and commercial drug products or drug raw material and drug work in process inventory, or as permitted pursuant to Section 6.11.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Inventory is in all material respects of good and marketable quality, free from material defects, other than drug product prior to release by quality assurance or following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(d) Borrower and each of its Subsidiaries is the sole owner or co-owner of the Intellectual Property it purports to own, free and clear of all Liens other than Permitted Liens. (i) Each of Borrower’s and its Subsidiaries’ Patents is valid and enforceable and no part of Borrower’s or its Subsidiaries’ Intellectual Property has been judged invalid or unenforceable, in whole or in part, and (ii) to the best of Borrower’s knowledge, no claim has been made that any part of the Intellectual Property or any practice by Borrower or its Subsidiaries violates the rights of any third party except to the extent such claim could not reasonably be expected to have a Material Adverse Change. Except as noted on the Perfection Certificates,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(other than standard non-assignment clauses) in such material license or material agreement or any other material property, or (ii) for which a default under or termination of could reasonably be expected to interfere with Collateral Agent’s or any Lender’s right to sell any Collateral. Borrower shall provide written notice to Collateral Agent and each Lender within ten (10) days of Borrower or any of its Subsidiaries entering into or becoming bound by any license or agreement with respect to which Borrower or any Subsidiary is the licensee (other than over-the-counter software that is commercially available to the public).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rPr>
        <w:t>Litigation.</w:t>
      </w:r>
      <w:r>
        <w:rPr>
          <w:rFonts w:ascii="Times New Roman" w:hAnsi="Times New Roman"/>
          <w:sz w:val="20"/>
        </w:rPr>
        <w:t xml:space="preserve"> Except as disclosed (i) on the Perfection Certificates, or (ii) in accordance with Section 6.9 hereof, there are no actions, suits, investigations, or proceedings pending or, to the knowledge of the Responsible Officers, threatened in writing by or against Borrower or any of its Subsidiaries involving more than Five Hundred Thousand Dollars ($500,000.00). </w:t>
      </w:r>
    </w:p>
    <w:p>
      <w:pPr>
        <w:pStyle w:val="TextBody"/>
        <w:bidi w:val="0"/>
        <w:spacing w:before="24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b/>
          <w:sz w:val="20"/>
        </w:rPr>
        <w:t>No Material Adverse Change in Financial Condition; Financial Statements.</w:t>
      </w:r>
      <w:r>
        <w:rPr>
          <w:rFonts w:ascii="Times New Roman" w:hAnsi="Times New Roman"/>
          <w:sz w:val="20"/>
        </w:rPr>
        <w:t xml:space="preserve"> All consolidated financial statements for Borrower and its Subsidiaries, delivered to Collateral Agent fairly present, in conformity with GAAP (subject, in the case of unaudited financial statements, to normal year-end non-cash adjustments, consistent with Borrower’s past practices), in all material respects, as of the dates and for the time periods presented therein, the consolidated financial condition of Borrower and its Subsidiaries, and the consolidated results of operations of Borrower and its Subsidiaries. There has not been a Material Adverse Change in the consolidated financial condition of Borrower and its Subsidiaries since the date of the most recent financial statements submitted to any Lender. </w:t>
      </w:r>
    </w:p>
    <w:p>
      <w:pPr>
        <w:pStyle w:val="TextBody"/>
        <w:bidi w:val="0"/>
        <w:spacing w:before="24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rPr>
        <w:t>Solvency.</w:t>
      </w:r>
      <w:r>
        <w:rPr>
          <w:rFonts w:ascii="Times New Roman" w:hAnsi="Times New Roman"/>
          <w:sz w:val="20"/>
        </w:rPr>
        <w:t xml:space="preserve"> Borrower is Solvent, and Borrower and its Subsidiaries, taken as a whole, are solvent. </w:t>
      </w:r>
    </w:p>
    <w:p>
      <w:pPr>
        <w:pStyle w:val="TextBody"/>
        <w:bidi w:val="0"/>
        <w:spacing w:before="24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rPr>
        <w:t>Regulatory Compliance.</w:t>
      </w:r>
      <w:r>
        <w:rPr>
          <w:rFonts w:ascii="Times New Roman" w:hAnsi="Times New Roman"/>
          <w:sz w:val="20"/>
        </w:rPr>
        <w:t xml:space="preserve"> 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None of Borrower, any of its Subsidiaries, or, to the knowledge of the Borrower,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5.7</w:t>
      </w:r>
      <w:r>
        <w:rPr>
          <w:rFonts w:ascii="Times New Roman" w:hAnsi="Times New Roman"/>
          <w:sz w:val="20"/>
        </w:rPr>
        <w:t xml:space="preserve"> </w:t>
      </w:r>
      <w:r>
        <w:rPr>
          <w:rFonts w:ascii="Times New Roman" w:hAnsi="Times New Roman"/>
          <w:b/>
          <w:sz w:val="20"/>
        </w:rPr>
        <w:t>Investments.</w:t>
      </w:r>
      <w:r>
        <w:rPr>
          <w:rFonts w:ascii="Times New Roman" w:hAnsi="Times New Roman"/>
          <w:sz w:val="20"/>
        </w:rPr>
        <w:t xml:space="preserve"> Neither Borrower nor any of its Subsidiaries owns any stock, shares, partnership interests or other equity securities except for Permitted Investments. </w:t>
      </w:r>
    </w:p>
    <w:p>
      <w:pPr>
        <w:pStyle w:val="TextBody"/>
        <w:bidi w:val="0"/>
        <w:spacing w:before="240" w:after="0"/>
        <w:jc w:val="left"/>
        <w:rPr>
          <w:rFonts w:ascii="Times New Roman" w:hAnsi="Times New Roman"/>
          <w:sz w:val="20"/>
        </w:rPr>
      </w:pPr>
      <w:r>
        <w:rPr>
          <w:rFonts w:ascii="Times New Roman" w:hAnsi="Times New Roman"/>
          <w:b/>
          <w:sz w:val="20"/>
        </w:rPr>
        <w:t>5.8</w:t>
      </w:r>
      <w:r>
        <w:rPr>
          <w:rFonts w:ascii="Times New Roman" w:hAnsi="Times New Roman"/>
          <w:sz w:val="20"/>
        </w:rPr>
        <w:t xml:space="preserve"> </w:t>
      </w:r>
      <w:r>
        <w:rPr>
          <w:rFonts w:ascii="Times New Roman" w:hAnsi="Times New Roman"/>
          <w:b/>
          <w:sz w:val="20"/>
        </w:rPr>
        <w:t>Tax Returns and Payments; Pension Contributions.</w:t>
      </w:r>
      <w:r>
        <w:rPr>
          <w:rFonts w:ascii="Times New Roman" w:hAnsi="Times New Roman"/>
          <w:sz w:val="20"/>
        </w:rPr>
        <w:t xml:space="preserve"> Borrower and each of its Subsidiaries has timely filed (or timely filed extensions to file) all required tax returns and reports, and Borrower and each of its Subsidiaries, has timely paid all foreign, federal, material state, and material local taxes, assessments, deposits and contributions owed by Borrower and such Subsidiaries, in all jurisdictions in which Borrower or any such Subsidiary is subject to taxes, including the United States, unless (a) such taxes are being contested in good faith by appropriate proceedings diligently conducted and for which adequate reserves are being maintained in accordance with GAAP (the “Contested Taxes”), or (b) in the case of material state and material local taxes, assessments, deposits and contributions owed do not, individually or in the aggregate, exceed One Hundred Thousand Dollars ($100,000.00). Borrower may defer payment of any Contested Taxes, provided that Borrower, (a) in good faith contests its obligation to pay the taxes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Times New Roman" w:hAnsi="Times New Roman"/>
          <w:b/>
          <w:sz w:val="20"/>
        </w:rPr>
        <w:t>Permitted Lien</w:t>
      </w:r>
      <w:r>
        <w:rPr>
          <w:rFonts w:ascii="Times New Roman" w:hAnsi="Times New Roman"/>
          <w:sz w:val="20"/>
        </w:rPr>
        <w:t xml:space="preserve">.”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 </w:t>
      </w:r>
    </w:p>
    <w:p>
      <w:pPr>
        <w:pStyle w:val="TextBody"/>
        <w:bidi w:val="0"/>
        <w:spacing w:before="240" w:after="0"/>
        <w:jc w:val="left"/>
        <w:rPr>
          <w:rFonts w:ascii="Times New Roman" w:hAnsi="Times New Roman"/>
          <w:sz w:val="20"/>
        </w:rPr>
      </w:pPr>
      <w:r>
        <w:rPr>
          <w:rFonts w:ascii="Times New Roman" w:hAnsi="Times New Roman"/>
          <w:b/>
          <w:sz w:val="20"/>
        </w:rPr>
        <w:t>5.9</w:t>
      </w:r>
      <w:r>
        <w:rPr>
          <w:rFonts w:ascii="Times New Roman" w:hAnsi="Times New Roman"/>
          <w:sz w:val="20"/>
        </w:rPr>
        <w:t xml:space="preserve"> </w:t>
      </w:r>
      <w:r>
        <w:rPr>
          <w:rFonts w:ascii="Times New Roman" w:hAnsi="Times New Roman"/>
          <w:b/>
          <w:sz w:val="20"/>
        </w:rPr>
        <w:t>Use of Proceeds.</w:t>
      </w:r>
      <w:r>
        <w:rPr>
          <w:rFonts w:ascii="Times New Roman" w:hAnsi="Times New Roman"/>
          <w:sz w:val="20"/>
        </w:rPr>
        <w:t xml:space="preserve"> Borrower shall use the proceeds of the Credit Extensions solely as working capital and to fund its general business requirements in accordance with the provisions of this Agreement, and not for personal, family, household or agricultural purposes. </w:t>
      </w:r>
    </w:p>
    <w:p>
      <w:pPr>
        <w:pStyle w:val="TextBody"/>
        <w:bidi w:val="0"/>
        <w:spacing w:before="240" w:after="0"/>
        <w:jc w:val="left"/>
        <w:rPr>
          <w:rFonts w:ascii="Times New Roman" w:hAnsi="Times New Roman"/>
          <w:sz w:val="20"/>
        </w:rPr>
      </w:pPr>
      <w:r>
        <w:rPr>
          <w:rFonts w:ascii="Times New Roman" w:hAnsi="Times New Roman"/>
          <w:b/>
          <w:sz w:val="20"/>
        </w:rPr>
        <w:t>5.10</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Borrower has full power and authority to create a first lien on the Shares and no disability or contractual obligation exists that would prohibit Borrower from pledging the Shares pursuant to this Agreement, except for any Permitted Liens.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 </w:t>
      </w:r>
    </w:p>
    <w:p>
      <w:pPr>
        <w:pStyle w:val="TextBody"/>
        <w:bidi w:val="0"/>
        <w:spacing w:before="240" w:after="0"/>
        <w:jc w:val="left"/>
        <w:rPr>
          <w:rFonts w:ascii="Times New Roman" w:hAnsi="Times New Roman"/>
          <w:sz w:val="20"/>
        </w:rPr>
      </w:pPr>
      <w:r>
        <w:rPr>
          <w:rFonts w:ascii="Times New Roman" w:hAnsi="Times New Roman"/>
          <w:b/>
          <w:sz w:val="20"/>
        </w:rPr>
        <w:t>5.11</w:t>
      </w:r>
      <w:r>
        <w:rPr>
          <w:rFonts w:ascii="Times New Roman" w:hAnsi="Times New Roman"/>
          <w:sz w:val="20"/>
        </w:rPr>
        <w:t xml:space="preserve"> </w:t>
      </w:r>
      <w:r>
        <w:rPr>
          <w:rFonts w:ascii="Times New Roman" w:hAnsi="Times New Roman"/>
          <w:b/>
          <w:sz w:val="20"/>
        </w:rPr>
        <w:t>Full Disclosure.</w:t>
      </w:r>
      <w:r>
        <w:rPr>
          <w:rFonts w:ascii="Times New Roman" w:hAnsi="Times New Roman"/>
          <w:sz w:val="20"/>
        </w:rPr>
        <w:t xml:space="preserve"> No written representation, warranty or other statement of Borrower or any of its Subsidiaries in any certificate or written 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materially misleading in light of the circumstances under which such statements were made, after giving effect to all supplements and updates thereto from time to time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 </w:t>
      </w:r>
    </w:p>
    <w:p>
      <w:pPr>
        <w:pStyle w:val="TextBody"/>
        <w:bidi w:val="0"/>
        <w:spacing w:before="240" w:after="0"/>
        <w:jc w:val="left"/>
        <w:rPr>
          <w:rFonts w:ascii="Times New Roman" w:hAnsi="Times New Roman"/>
          <w:sz w:val="20"/>
        </w:rPr>
      </w:pPr>
      <w:r>
        <w:rPr>
          <w:rFonts w:ascii="Times New Roman" w:hAnsi="Times New Roman"/>
          <w:b/>
          <w:sz w:val="20"/>
        </w:rPr>
        <w:t>5.12</w:t>
      </w:r>
      <w:r>
        <w:rPr>
          <w:rFonts w:ascii="Times New Roman" w:hAnsi="Times New Roman"/>
          <w:sz w:val="20"/>
        </w:rPr>
        <w:t xml:space="preserve"> “</w:t>
      </w:r>
      <w:r>
        <w:rPr>
          <w:rFonts w:ascii="Times New Roman" w:hAnsi="Times New Roman"/>
          <w:b/>
          <w:sz w:val="20"/>
        </w:rPr>
        <w:t>Know Your Customer” Information</w:t>
      </w:r>
      <w:r>
        <w:rPr>
          <w:rFonts w:ascii="Times New Roman" w:hAnsi="Times New Roman"/>
          <w:sz w:val="20"/>
        </w:rPr>
        <w:t xml:space="preserve">. All materials and information provided to Collateral Agent and Lenders in connection with applicable “know your customer” and Anti-Terrorism Legislation are true and correct at the time such materials and information were provided. </w:t>
      </w:r>
    </w:p>
    <w:p>
      <w:pPr>
        <w:pStyle w:val="TextBody"/>
        <w:bidi w:val="0"/>
        <w:spacing w:before="240" w:after="0"/>
        <w:jc w:val="left"/>
        <w:rPr>
          <w:rFonts w:ascii="Times New Roman" w:hAnsi="Times New Roman"/>
          <w:sz w:val="20"/>
        </w:rPr>
      </w:pPr>
      <w:r>
        <w:rPr>
          <w:rFonts w:ascii="Times New Roman" w:hAnsi="Times New Roman"/>
          <w:b/>
          <w:sz w:val="20"/>
        </w:rPr>
        <w:t xml:space="preserve">5.13 Definition of </w:t>
      </w:r>
      <w:r>
        <w:rPr>
          <w:rFonts w:ascii="Times New Roman" w:hAnsi="Times New Roman"/>
          <w:sz w:val="20"/>
        </w:rPr>
        <w:t>“</w:t>
      </w:r>
      <w:r>
        <w:rPr>
          <w:rFonts w:ascii="Times New Roman" w:hAnsi="Times New Roman"/>
          <w:b/>
          <w:sz w:val="20"/>
        </w:rPr>
        <w:t>Knowledge.</w:t>
      </w:r>
      <w:r>
        <w:rPr>
          <w:rFonts w:ascii="Times New Roman" w:hAnsi="Times New Roman"/>
          <w:sz w:val="20"/>
        </w:rPr>
        <w:t xml:space="preserve">” For purposes of the Loan Documents, whenever a representation or warranty is made to Borrower’s knowledge or awareness, to the “best of” Borrower’s knowledge, or with a similar qualification, knowledge or awareness means the actual knowledge, after reasonable investigation, of the Responsible Officers.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AFFIRMATIVE COVENANTS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Borrower shall, and shall cause each of its Subsidiaries to, do all of the following: </w:t>
      </w:r>
    </w:p>
    <w:p>
      <w:pPr>
        <w:pStyle w:val="TextBody"/>
        <w:bidi w:val="0"/>
        <w:spacing w:before="240" w:after="0"/>
        <w:jc w:val="left"/>
        <w:rPr>
          <w:rFonts w:ascii="Times New Roman" w:hAnsi="Times New Roman"/>
          <w:b/>
          <w:sz w:val="20"/>
        </w:rPr>
      </w:pPr>
      <w:r>
        <w:rPr>
          <w:rFonts w:ascii="Times New Roman" w:hAnsi="Times New Roman"/>
          <w:b/>
          <w:sz w:val="20"/>
        </w:rPr>
        <w:t xml:space="preserve">6.1 Government Compliance. </w:t>
      </w:r>
    </w:p>
    <w:p>
      <w:pPr>
        <w:pStyle w:val="TextBody"/>
        <w:bidi w:val="0"/>
        <w:spacing w:before="120" w:after="0"/>
        <w:jc w:val="left"/>
        <w:rPr>
          <w:rFonts w:ascii="Times New Roman" w:hAnsi="Times New Roman"/>
          <w:sz w:val="20"/>
        </w:rPr>
      </w:pPr>
      <w:r>
        <w:rPr>
          <w:rFonts w:ascii="Times New Roman" w:hAnsi="Times New Roman"/>
          <w:sz w:val="20"/>
        </w:rPr>
        <w:t xml:space="preserve">(a) Maintain its and (except as not prohibited by Section 7.3)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(b) 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Upon the Collateral Agent’s request, Borrower shall promptly provide copies to Collateral Agent of any material Governmental Approvals obtained by Borrower or any of its Subsidiaries. </w:t>
      </w:r>
    </w:p>
    <w:p>
      <w:pPr>
        <w:pStyle w:val="TextBody"/>
        <w:bidi w:val="0"/>
        <w:spacing w:before="240" w:after="0"/>
        <w:jc w:val="left"/>
        <w:rPr>
          <w:rFonts w:ascii="Times New Roman" w:hAnsi="Times New Roman"/>
          <w:b/>
          <w:sz w:val="20"/>
        </w:rPr>
      </w:pPr>
      <w:r>
        <w:rPr>
          <w:rFonts w:ascii="Times New Roman" w:hAnsi="Times New Roman"/>
          <w:b/>
          <w:sz w:val="20"/>
        </w:rPr>
        <w:t xml:space="preserve">6.2 Financial Statements, Reports, Certificates. </w:t>
      </w:r>
    </w:p>
    <w:p>
      <w:pPr>
        <w:pStyle w:val="TextBody"/>
        <w:bidi w:val="0"/>
        <w:spacing w:before="120" w:after="0"/>
        <w:jc w:val="left"/>
        <w:rPr>
          <w:rFonts w:ascii="Times New Roman" w:hAnsi="Times New Roman"/>
          <w:sz w:val="20"/>
        </w:rPr>
      </w:pPr>
      <w:r>
        <w:rPr>
          <w:rFonts w:ascii="Times New Roman" w:hAnsi="Times New Roman"/>
          <w:sz w:val="20"/>
        </w:rPr>
        <w:t xml:space="preserve">(a) Deliver to the Collateral Agent (for distribution to the Lenders): </w:t>
      </w:r>
    </w:p>
    <w:p>
      <w:pPr>
        <w:pStyle w:val="TextBody"/>
        <w:bidi w:val="0"/>
        <w:spacing w:before="120" w:after="0"/>
        <w:jc w:val="left"/>
        <w:rPr>
          <w:rFonts w:ascii="Times New Roman" w:hAnsi="Times New Roman"/>
          <w:sz w:val="20"/>
        </w:rPr>
      </w:pPr>
      <w:r>
        <w:rPr>
          <w:rFonts w:ascii="Times New Roman" w:hAnsi="Times New Roman"/>
          <w:sz w:val="20"/>
        </w:rPr>
        <w:t xml:space="preserve">(i) no later than forty-five (45) days after the last day of each fiscal quarter, a company prepared consolidated balance sheet, income statement and cash flow statement covering the consolidated operations of Borrower and its Subsidiaries for such quarter certified by a Responsible Officer and in a form reasonably acceptable to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(ii) no later than ninety (90) days after the last day of Borrower’s fiscal year or within five (5) days of filing with the SEC, audited consolidated financial statements prepared under GAAP, consistently applied, together with an unqualified opinion on the financial statements (provided that that such unqualified opinion may include going concern explanatory language as it relates to Borrower’s cash level and upcoming maturity date of any Indebtedness) from an independent certified public accounting firm acceptable to Collateral Agent in its reasonable discretion; provided that KPMG LLP and any other certified public accounting firm of recognized national standing shall be acceptable to the Collateral Agent; </w:t>
      </w:r>
    </w:p>
    <w:p>
      <w:pPr>
        <w:pStyle w:val="TextBody"/>
        <w:bidi w:val="0"/>
        <w:spacing w:before="120" w:after="0"/>
        <w:jc w:val="left"/>
        <w:rPr>
          <w:rFonts w:ascii="Times New Roman" w:hAnsi="Times New Roman"/>
          <w:sz w:val="20"/>
        </w:rPr>
      </w:pPr>
      <w:r>
        <w:rPr>
          <w:rFonts w:ascii="Times New Roman" w:hAnsi="Times New Roman"/>
          <w:sz w:val="20"/>
        </w:rPr>
        <w:t>(iii) no later than the earlier of (i) seventy-five (75) days after the last day of each of Borrower’s fiscal years, and (ii) thirty (30) days after approval by the Borrower’s Board of Directors, Borrower’s annual financial projections for the entire current fiscal year as approved by Borrower’s Board of Directors, which such annual financial projections shall be set forth in a quarterly format (such annual financial projections as originally delivered to Collateral Agent (for distribution to the Lenders) are referred to herein as the “</w:t>
      </w:r>
      <w:r>
        <w:rPr>
          <w:rFonts w:ascii="Times New Roman" w:hAnsi="Times New Roman"/>
          <w:b/>
          <w:sz w:val="20"/>
        </w:rPr>
        <w:t>Annual Projections</w:t>
      </w:r>
      <w:r>
        <w:rPr>
          <w:rFonts w:ascii="Times New Roman" w:hAnsi="Times New Roman"/>
          <w:sz w:val="20"/>
        </w:rPr>
        <w:t xml:space="preserve">”; provided that, any revisions of the Annual Projections approved by Borrower’s Board of Directors shall be delivered to Collateral Agent (for distribution to the Lenders) no later than seven (7) days after such approval); provided, further that without limiting the obligations set forth in foregoing, if the Annual Projections are not delivered to Collateral Agent by the date that is sixty (60) days after the last day of a given fiscal year, Borrower shall deliver to Collateral Agent draft Annual Projections for the entire current fiscal year; </w:t>
      </w:r>
    </w:p>
    <w:p>
      <w:pPr>
        <w:pStyle w:val="TextBody"/>
        <w:bidi w:val="0"/>
        <w:spacing w:before="120" w:after="0"/>
        <w:jc w:val="left"/>
        <w:rPr>
          <w:rFonts w:ascii="Times New Roman" w:hAnsi="Times New Roman"/>
          <w:sz w:val="20"/>
        </w:rPr>
      </w:pPr>
      <w:r>
        <w:rPr>
          <w:rFonts w:ascii="Times New Roman" w:hAnsi="Times New Roman"/>
          <w:sz w:val="20"/>
        </w:rPr>
        <w:t xml:space="preserve">(iv) within five (5) days of delivery, copies of all non-ministerial statements, reports and notices made generally available to Borrower’s security holders or holders of Subordinated Debt; </w:t>
      </w:r>
    </w:p>
    <w:p>
      <w:pPr>
        <w:pStyle w:val="TextBody"/>
        <w:bidi w:val="0"/>
        <w:spacing w:before="120" w:after="0"/>
        <w:jc w:val="left"/>
        <w:rPr>
          <w:rFonts w:ascii="Times New Roman" w:hAnsi="Times New Roman"/>
          <w:sz w:val="20"/>
        </w:rPr>
      </w:pPr>
      <w:r>
        <w:rPr>
          <w:rFonts w:ascii="Times New Roman" w:hAnsi="Times New Roman"/>
          <w:sz w:val="20"/>
        </w:rPr>
        <w:t xml:space="preserve">(v) within five (5) days of filing, all reports on Form 10-K, 10-Q and 8-K filed with the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 xml:space="preserve">(vi) prompt notice of any amendments of or other changes to the Operating Documents of Borrower, together with any copies reflecting such amendments or changes with respect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Concurrently with the delivery of the financial statements specified in Section 6.2(a)(i) above but no later than forty-five (45) days after the last day of each fiscal quarter, notice of (A) any material change in the composition of the Intellectual Property, (B) the registration of any copyright, patent or trademark, including a copy of any such registration, provided that the Borrower will provide prompt notice of the registration of any copyright, and (C) any event that could reasonably be expected to materially and adversely affect the value of the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(viii)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 </w:t>
      </w:r>
    </w:p>
    <w:p>
      <w:pPr>
        <w:pStyle w:val="TextBody"/>
        <w:bidi w:val="0"/>
        <w:spacing w:before="120" w:after="0"/>
        <w:jc w:val="left"/>
        <w:rPr>
          <w:rFonts w:ascii="Times New Roman" w:hAnsi="Times New Roman"/>
          <w:sz w:val="20"/>
        </w:rPr>
      </w:pPr>
      <w:r>
        <w:rPr>
          <w:rFonts w:ascii="Times New Roman" w:hAnsi="Times New Roman"/>
          <w:sz w:val="20"/>
        </w:rPr>
        <w:t xml:space="preserve">(ix) no later than thirty (30) days after the last day of each month during any part of which Borrower’s obligations under Section 6.14 were in effect, a summary report regarding Borrower’s minimum aggregate cash balance in Collateral Accounts maintained in the United States and subject to Control Agreements in favor of Collateral Agent during all times of such month when the aforementioned obligations were in effect; and </w:t>
      </w:r>
    </w:p>
    <w:p>
      <w:pPr>
        <w:pStyle w:val="TextBody"/>
        <w:bidi w:val="0"/>
        <w:spacing w:before="120" w:after="0"/>
        <w:jc w:val="left"/>
        <w:rPr>
          <w:rFonts w:ascii="Times New Roman" w:hAnsi="Times New Roman"/>
          <w:sz w:val="20"/>
        </w:rPr>
      </w:pPr>
      <w:r>
        <w:rPr>
          <w:rFonts w:ascii="Times New Roman" w:hAnsi="Times New Roman"/>
          <w:sz w:val="20"/>
        </w:rPr>
        <w:t xml:space="preserve">(x) other information as reasonably requested by Collateral Agent or any Lender.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when filed with the SEC or on Borrower’s website on the internet at Borrower’s website address. </w:t>
      </w:r>
    </w:p>
    <w:p>
      <w:pPr>
        <w:pStyle w:val="TextBody"/>
        <w:bidi w:val="0"/>
        <w:spacing w:before="120" w:after="0"/>
        <w:jc w:val="left"/>
        <w:rPr>
          <w:rFonts w:ascii="Times New Roman" w:hAnsi="Times New Roman"/>
          <w:sz w:val="20"/>
        </w:rPr>
      </w:pPr>
      <w:r>
        <w:rPr>
          <w:rFonts w:ascii="Times New Roman" w:hAnsi="Times New Roman"/>
          <w:sz w:val="20"/>
        </w:rPr>
        <w:t xml:space="preserve">(b) Concurrently with the delivery of the financial statements specified in Section 6.2(a)(i) above but no later than forty-five (45) days after the last day of each fiscal quarter, deliver to each Lender, a duly completed Compliance Certificate signed by a Responsible Officer. </w:t>
      </w:r>
    </w:p>
    <w:p>
      <w:pPr>
        <w:pStyle w:val="TextBody"/>
        <w:bidi w:val="0"/>
        <w:spacing w:before="120" w:after="0"/>
        <w:jc w:val="left"/>
        <w:rPr>
          <w:rFonts w:ascii="Times New Roman" w:hAnsi="Times New Roman"/>
          <w:sz w:val="20"/>
        </w:rPr>
      </w:pPr>
      <w:r>
        <w:rPr>
          <w:rFonts w:ascii="Times New Roman" w:hAnsi="Times New Roman"/>
          <w:sz w:val="20"/>
        </w:rPr>
        <w:t xml:space="preserve">(c) Keep proper books of record and account in accordance with GAAP in all material respects (subject to normal year-end non-cash adjustments, consistent with Borrower’s past practices), in which full, true and correct entries shall be made of all dealings and transactions in relation to its business and activities.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year unless (and more frequently if) an Event of Default has occurred and is continuing.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Inventory; Returns.</w:t>
      </w:r>
      <w:r>
        <w:rPr>
          <w:rFonts w:ascii="Times New Roman" w:hAnsi="Times New Roman"/>
          <w:sz w:val="20"/>
        </w:rPr>
        <w:t xml:space="preserve"> Keep all Inventory in good and marketable condition, free from material defects, other than drug products following the expiration date. Returns and allowances between Borrower, or any of its Subsidiaries, and their respective Account Debtors shall follow customary practices for similarly situated suppliers as Borrower in their ordinary course of business. Borrower must promptly notify Collateral Agent (for distribution to the Lenders) of all returns, recoveries, disputes and claims that involve more than Five Hundred Thousand Dollars ($500,000.00) individually or in the aggregate in any calendar year.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Taxes; Pensions.</w:t>
      </w:r>
      <w:r>
        <w:rPr>
          <w:rFonts w:ascii="Times New Roman" w:hAnsi="Times New Roman"/>
          <w:sz w:val="20"/>
        </w:rPr>
        <w:t xml:space="preserve"> Timely file and require each of its Subsidiaries to timely file, all required tax returns and reports and timely pay, and require each of its Subsidiaries to timely file, all foreign, federal, material state, and material local taxes, assessments, deposits and contributions owed by Borrower or its Subsidiaries, except for deferred payment of any taxes contested pursuant to the terms of Section 5.8 hereof, and shall deliver to Collateral Agent (for distribution to the Lenders) , on demand, appropriate certificates attesting to such payments, and pay all amounts necessary to fund all present pension, profit sharing and deferred compensation plans in accordance with the terms of such plans; provided that, as used herein, “material state, and material local Taxes, assessments, deposits and contributions” mean those, individually or in the aggregate, equal to or that exceed One Hundred Thousand Dollars ($100,000.00).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Insurance.</w:t>
      </w:r>
      <w:r>
        <w:rPr>
          <w:rFonts w:ascii="Times New Roman" w:hAnsi="Times New Roman"/>
          <w:sz w:val="20"/>
        </w:rPr>
        <w:t xml:space="preserve"> Keep Borrower’s and its Subsidiaries’ business and the Collateral insured for risks and in amounts standard for companies in Borrower’s and its Subsidiaries’ industry and location and as Collateral Agent may reasonably request. Insurance policies shall be in a form, with companies, and in amounts that are reasonably satisfactory to Collateral Agent.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materially altered or canceled.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Five Hundred Thousand Dollars ($500,000.00) with respect to any loss, but not exceeding Five Hundred Thousand Dollars ($500,000.00), in the aggregate for all losses under all casualty policies in any one year, toward the replacement or repair of destroyed or damaged property; provided that, to the extent such proceeds are applied toward the replacement or repair of destroyed or damaged property,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may make, at Borrower’s expense, all or part of such payment or obtain such insurance policies required in this Section 6.5, and take any action under the policies Collateral Agent deems prudent. </w:t>
      </w:r>
    </w:p>
    <w:p>
      <w:pPr>
        <w:pStyle w:val="TextBody"/>
        <w:bidi w:val="0"/>
        <w:spacing w:before="240" w:after="0"/>
        <w:jc w:val="left"/>
        <w:rPr>
          <w:rFonts w:ascii="Times New Roman" w:hAnsi="Times New Roman"/>
          <w:b/>
          <w:sz w:val="20"/>
        </w:rPr>
      </w:pPr>
      <w:r>
        <w:rPr>
          <w:rFonts w:ascii="Times New Roman" w:hAnsi="Times New Roman"/>
          <w:b/>
          <w:sz w:val="20"/>
        </w:rPr>
        <w:t xml:space="preserve">6.6 Operating Accounts. </w:t>
      </w:r>
    </w:p>
    <w:p>
      <w:pPr>
        <w:pStyle w:val="TextBody"/>
        <w:bidi w:val="0"/>
        <w:spacing w:before="120" w:after="0"/>
        <w:jc w:val="left"/>
        <w:rPr>
          <w:rFonts w:ascii="Times New Roman" w:hAnsi="Times New Roman"/>
          <w:sz w:val="20"/>
        </w:rPr>
      </w:pPr>
      <w:r>
        <w:rPr>
          <w:rFonts w:ascii="Times New Roman" w:hAnsi="Times New Roman"/>
          <w:sz w:val="20"/>
        </w:rPr>
        <w:t xml:space="preserve">(a) Maintain all of Borrower’s Collateral Accounts (other than Excluded Accounts) in accounts which are subject to a Control Agreement in favor of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(b) Borrower shall provide Collateral Agent five (5) days’ prior written notice before Borrower establishes any Collateral Account. For each Collateral Account (other than Excluded Accounts) that Borrower, at any time maintains, Borrower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The provisions of the previous sentence shall not apply to Excluded Accounts. </w:t>
      </w:r>
    </w:p>
    <w:p>
      <w:pPr>
        <w:pStyle w:val="TextBody"/>
        <w:bidi w:val="0"/>
        <w:spacing w:before="120" w:after="0"/>
        <w:jc w:val="left"/>
        <w:rPr>
          <w:rFonts w:ascii="Times New Roman" w:hAnsi="Times New Roman"/>
          <w:sz w:val="20"/>
        </w:rPr>
      </w:pPr>
      <w:r>
        <w:rPr>
          <w:rFonts w:ascii="Times New Roman" w:hAnsi="Times New Roman"/>
          <w:sz w:val="20"/>
        </w:rPr>
        <w:t xml:space="preserve">(c) Borrower shall not maintain any Collateral Accounts except Collateral Accounts maintained in accordance with Sections 6.6(a) and (b).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Protection of Intellectual Property Rights.</w:t>
      </w:r>
      <w:r>
        <w:rPr>
          <w:rFonts w:ascii="Times New Roman" w:hAnsi="Times New Roman"/>
          <w:sz w:val="20"/>
        </w:rPr>
        <w:t xml:space="preserve"> Borrower and each of its Subsidiaries shall: (a) use commercially reasonable efforts to protect, defend and maintain the validity and enforceability of its owned Intellectual Property that is material to Borrower’s business; (b) promptly upon becoming aware, advise Collateral Agent in writing of material infringement by a third party of its owned Intellectual Property that is material to Borrower’s business; and (c) not allow any owned Intellectual Property material to Borrower’s business to be abandoned, forfeited or dedicated to the public without Collateral Agent’s prior written consent. If Borrower (i) obtains as owner any patent, registered trademark or servicemark, registered copyright, or registered mask work or (ii) applies for any patent or the registration of any trademark or servicemark, then Borrower or such Subsidiary shall (x) provide written notice thereof to Collateral Agent through Borrower’s Compliance Certificate reporting under Section 6.2(b), and (y) shall execute such intellectual property security agreements and other documents and take such other actions as Collateral Agent shall reasonably request in its good faith business judgment to perfect and maintain a first priority perfected security interest in the United States in favor of Collateral Agent, for the ratable benefit of the Lenders, in such property. If Borrower or any of its Subsidiaries decides to register any copyrights or mask works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United States Copyright Office, Borrower or such Subsidiary shall: (x) execute an intellectual property security agreement and such other documents and take such other actions as Collateral Agent may reasonably request in its good faith business judgment to perfect and maintain a first priority perfected security interest in favor of Collateral Agent, for the ratable benefit of the Lenders, in the copyrights or mask works intended to be registered with the United States Copyright Office; and (y) record such intellectual property security agreement with the United States Copyright Office contemporaneously with filing the copyright or mask work application(s) with the United States Copyright Office. Borrower or such Subsidiary shall promptly provide to Collateral Agent with evidence of the recording of the intellectual property security agreement necessary for Collateral Agent to perfect and maintain a first priority perfected security interest in such property.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Litigation Cooperation.</w:t>
      </w:r>
      <w:r>
        <w:rPr>
          <w:rFonts w:ascii="Times New Roman" w:hAnsi="Times New Roman"/>
          <w:sz w:val="20"/>
        </w:rPr>
        <w:t xml:space="preserve"> Commencing on the Effective Date and continuing through the termination of this Agreement, make available to 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Notices of Litigation and Default.</w:t>
      </w:r>
      <w:r>
        <w:rPr>
          <w:rFonts w:ascii="Times New Roman" w:hAnsi="Times New Roman"/>
          <w:sz w:val="20"/>
        </w:rPr>
        <w:t xml:space="preserve"> Within five (5) days thereof, Borrower will give written notice to Collateral Agent (for distribution to the Lenders) of any litigation or governmental proceedings pending or threatened (in writing) against Borrower or any of its Subsidiaries, which could reasonably be expected to result in damages or costs to Borrower or any of its Subsidiaries of Five Hundred Thousand Dollars ($500,000.00)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(for distribution to the Lenders) of such occurrence, which such notice shall include a reasonably detailed description of such Event of Default or event which, with the giving of notice or passage of time, or both, would constitute an Event of Default.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Minimum Revenue Covenant.</w:t>
      </w:r>
      <w:r>
        <w:rPr>
          <w:rFonts w:ascii="Times New Roman" w:hAnsi="Times New Roman"/>
          <w:sz w:val="20"/>
        </w:rPr>
        <w:t xml:space="preserve"> Borrower shall deliver to Collateral Agent the Net Product Revenue Forecast by no later than sixty (60) days after the earlier of (i) the date of acceptance by the U.S. Food and Drug Administration of Borrower’s Biologics License Application for the use of Borrower’s product candidate Tanruprubart in the treatment of Guillain-Barré Syndrome (the “</w:t>
      </w:r>
      <w:r>
        <w:rPr>
          <w:rFonts w:ascii="Times New Roman" w:hAnsi="Times New Roman"/>
          <w:b/>
          <w:sz w:val="20"/>
        </w:rPr>
        <w:t>Tanruprubart First BLA Acceptance Date</w:t>
      </w:r>
      <w:r>
        <w:rPr>
          <w:rFonts w:ascii="Times New Roman" w:hAnsi="Times New Roman"/>
          <w:sz w:val="20"/>
        </w:rPr>
        <w:t>”) or (ii) the date of receipt by Borrower of acceptance by the U.S. Food and Drug Administration of Borrower’s Biologics License Application for the use of Borrower’s product candidate Vonaprument in the treatment of Geographic Atrophy (the “</w:t>
      </w:r>
      <w:r>
        <w:rPr>
          <w:rFonts w:ascii="Times New Roman" w:hAnsi="Times New Roman"/>
          <w:b/>
          <w:sz w:val="20"/>
        </w:rPr>
        <w:t>Vonaprument First BLA Acceptance Date</w:t>
      </w:r>
      <w:r>
        <w:rPr>
          <w:rFonts w:ascii="Times New Roman" w:hAnsi="Times New Roman"/>
          <w:sz w:val="20"/>
        </w:rPr>
        <w:t>”). The Net Product Revenue Forecast shall be delivered along with the applicable percentage (the “</w:t>
      </w:r>
      <w:r>
        <w:rPr>
          <w:rFonts w:ascii="Times New Roman" w:hAnsi="Times New Roman"/>
          <w:b/>
          <w:sz w:val="20"/>
        </w:rPr>
        <w:t>Minimum Revenue Percentage</w:t>
      </w:r>
      <w:r>
        <w:rPr>
          <w:rFonts w:ascii="Times New Roman" w:hAnsi="Times New Roman"/>
          <w:sz w:val="20"/>
        </w:rPr>
        <w:t>”) of Net Product Revenue from the Net Product Revenue Forecast that will constitute the required Net Product Revenue amounts per the minimum revenue covenant schedule for this Section 6.10 (the “</w:t>
      </w:r>
      <w:r>
        <w:rPr>
          <w:rFonts w:ascii="Times New Roman" w:hAnsi="Times New Roman"/>
          <w:b/>
          <w:sz w:val="20"/>
        </w:rPr>
        <w:t>Minimum Required Net Product Revenue</w:t>
      </w:r>
      <w:r>
        <w:rPr>
          <w:rFonts w:ascii="Times New Roman" w:hAnsi="Times New Roman"/>
          <w:sz w:val="20"/>
        </w:rPr>
        <w:t>”), which must be mutually acceptable to Collateral Agent and Borrower. However, if the parties do not mutually agree to the Minimum Revenue Percentage within seventy five (75) days after the Tanruprubart First BLA Acceptance Date (the “</w:t>
      </w:r>
      <w:r>
        <w:rPr>
          <w:rFonts w:ascii="Times New Roman" w:hAnsi="Times New Roman"/>
          <w:b/>
          <w:sz w:val="20"/>
        </w:rPr>
        <w:t>Tanruprubart Minimum Revenue Percentage Deadline</w:t>
      </w:r>
      <w:r>
        <w:rPr>
          <w:rFonts w:ascii="Times New Roman" w:hAnsi="Times New Roman"/>
          <w:sz w:val="20"/>
        </w:rPr>
        <w:t>”) or the Vonaprument First BLA Acceptance Date (the “</w:t>
      </w:r>
      <w:r>
        <w:rPr>
          <w:rFonts w:ascii="Times New Roman" w:hAnsi="Times New Roman"/>
          <w:b/>
          <w:sz w:val="20"/>
        </w:rPr>
        <w:t>Vonaprument Minimum Revenue Percentage Deadline</w:t>
      </w:r>
      <w:r>
        <w:rPr>
          <w:rFonts w:ascii="Times New Roman" w:hAnsi="Times New Roman"/>
          <w:sz w:val="20"/>
        </w:rPr>
        <w:t xml:space="preserve">”), then mutual agreement to the Minimum Revenue Percentage shall become an additional condition for (i) the Third Draw Period Commencement Event, if it has not already occurred prior to the Tanruprubart Minimum Revenue Percentage Deadline or (ii) the Fourth Draw Period Commencement Event, if it has not already occurred prior to the Vonaprument Minimum Revenue Percentage Deadline, as applicable. For the avoidance of doubt, Borrower shall only deliver the Net Product Revenue Forecast for Tanruprubart or Vonaprument to the extent there is Biologics License Application acceptance for such product. </w:t>
      </w:r>
    </w:p>
    <w:p>
      <w:pPr>
        <w:pStyle w:val="TextBody"/>
        <w:bidi w:val="0"/>
        <w:spacing w:before="240" w:after="0"/>
        <w:jc w:val="left"/>
        <w:rPr>
          <w:rFonts w:ascii="Times New Roman" w:hAnsi="Times New Roman"/>
          <w:sz w:val="20"/>
        </w:rPr>
      </w:pPr>
      <w:r>
        <w:rPr>
          <w:rFonts w:ascii="Times New Roman" w:hAnsi="Times New Roman"/>
          <w:sz w:val="20"/>
        </w:rPr>
        <w:t xml:space="preserve">If the initial Revenue Testing Date has occurred, Borrower shall achieve Minimum Required Net Product Revenue (determined in accordance with GAAP), measured on a trailing six (6) month basis, in an amount greater than or equal to the Minimum Revenue Percentage of Net Product Revenue from the Net Product Revenue Forecast for the sale of (i) Tanruprubart, if there is Biologics License Application acceptance for Tanruprubart, or (ii) Vonaprument, if there is Biologics License Application acceptance for Vonaprument, in each case to the extent applicable, for the relevant measuring period in the Net Product Revenue Forecast.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such Minimum Revenue Percentage(s) and Minimum Required Net Product Revenue amounts for future periods beyond those periods included in the Net Product Revenue Forecast will (i) be based upon quarterly Net Product Revenue for the fiscal year in the then-applicable Annual Projections, (ii) require annual growth compared to actual Net Product Revenue in the preceding fiscal year, and (iii) be mutually agreed upon by Collateral Agent and Borrower no later than March 15th of the applicable fiscal year; however, failure to achieve such mutual agreement by March 15th of the applicable fiscal year will not constitute an Event of Default if Borrower maintains Qualified Cash in an amount equal to or greater than the outstanding principal balance of the Term Loans. Additionally, such Minimum Revenue Percentage(s) and Minimum Required Net Product Revenue amounts for future periods beyond those periods included in the Net Product Revenue Forecast may be subject to a maximum amount of trailing six (6) month Net Product Revenue to be mutually agreed upon by Collateral Agent and Borrower, which Borrower must thereafter maintain as of each Revenue Testing Date through the earlier of prepayment or maturity of the Term Loans.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this Section shall not be required to be complied with for any fiscal quarter if, as of the applicable Revenue Testing Date and the actual reporting date to Lenders (per Sections 6.2(a)(i) and 6.2(b)), (i) Borrower’s fully diluted Market Capitalization for such Revenue Testing Date equals or exceeds Seven Hundred Million Dollars ($700,000,000) or (ii) Borrower maintains Qualified Cash as of such Revenue Testing Date in an amount equal to or greater than the outstanding principal balance of the Term Loans. </w:t>
      </w:r>
    </w:p>
    <w:p>
      <w:pPr>
        <w:pStyle w:val="TextBody"/>
        <w:bidi w:val="0"/>
        <w:spacing w:before="240" w:after="0"/>
        <w:jc w:val="left"/>
        <w:rPr>
          <w:rFonts w:ascii="Times New Roman" w:hAnsi="Times New Roman"/>
          <w:sz w:val="20"/>
        </w:rPr>
      </w:pPr>
      <w:r>
        <w:rPr>
          <w:rFonts w:ascii="Times New Roman" w:hAnsi="Times New Roman"/>
          <w:b/>
          <w:sz w:val="20"/>
        </w:rPr>
        <w:t>6.11</w:t>
      </w:r>
      <w:r>
        <w:rPr>
          <w:rFonts w:ascii="Times New Roman" w:hAnsi="Times New Roman"/>
          <w:sz w:val="20"/>
        </w:rPr>
        <w:t xml:space="preserve"> </w:t>
      </w:r>
      <w:r>
        <w:rPr>
          <w:rFonts w:ascii="Times New Roman" w:hAnsi="Times New Roman"/>
          <w:b/>
          <w:sz w:val="20"/>
        </w:rPr>
        <w:t>Landlord Waivers; Bailee Waivers.</w:t>
      </w:r>
      <w:r>
        <w:rPr>
          <w:rFonts w:ascii="Times New Roman" w:hAnsi="Times New Roman"/>
          <w:sz w:val="20"/>
        </w:rPr>
        <w:t xml:space="preserve"> In the event that Borrower, after the Effective Date, intends to add any new offices or business locations, including warehouses, or otherwise store any portion of the Collateral with, or deliver any portion of the Collateral to, in each case having an aggregate fair market value in excess of One Million Dollars ($1,000,000.00) (other than Inventory in-transit, mobile equipment, and Collateral at clinical sites, with contract manufacturers, wholesalers, resellers, other vendors and their approved subcontractors, which hold non-commercial drug inventory, R&amp;D materials, clinical and commercial drug product, or drug raw material and drug work in process inventory), a bailee (regardless of whether such office, business location, or warehouse is a new or existing office, business location or warehouse), in each case pursuant to Section 7.2, then Borrower will first receive the written consent of Collateral Agent and, in the event that the new location is the chief executive office of the Borrower or the Collateral (other than Inventory in-transit, mobile equipment, and Collateral at clinical sites, with contract manufacturers, wholesalers, resellers, other vendors and their approved subcontractors, which hold noncommercial drug inventory, R&amp;D materials, clinical and commercial drug product, or drug raw material and drug work in process inventory) at any such new location is with Collateral having an aggregate fair market value in excess of One Million Dollars ($1,000,000.00) in the aggregate, the Borrower shall cause such bailee or landlord, as applicable, to execute and deliver a bailee waiver or landlord waiver, as applicable, in form and substance reasonably satisfactory to Collateral Agent prior to the addition of any new offices or business locations, or any such storage with or delivery to any such bailee, as the case may be; provided that, the requirement of this Section 6.11 shall not apply to any location outside of the United States of America in which such consent or waiver is not customarily provided to secured lenders. </w:t>
      </w:r>
    </w:p>
    <w:p>
      <w:pPr>
        <w:pStyle w:val="TextBody"/>
        <w:bidi w:val="0"/>
        <w:spacing w:before="240" w:after="0"/>
        <w:jc w:val="left"/>
        <w:rPr>
          <w:rFonts w:ascii="Times New Roman" w:hAnsi="Times New Roman"/>
          <w:sz w:val="20"/>
        </w:rPr>
      </w:pPr>
      <w:r>
        <w:rPr>
          <w:rFonts w:ascii="Times New Roman" w:hAnsi="Times New Roman"/>
          <w:b/>
          <w:sz w:val="20"/>
        </w:rPr>
        <w:t>6.12</w:t>
      </w:r>
      <w:r>
        <w:rPr>
          <w:rFonts w:ascii="Times New Roman" w:hAnsi="Times New Roman"/>
          <w:sz w:val="20"/>
        </w:rPr>
        <w:t xml:space="preserve"> </w:t>
      </w:r>
      <w:r>
        <w:rPr>
          <w:rFonts w:ascii="Times New Roman" w:hAnsi="Times New Roman"/>
          <w:b/>
          <w:sz w:val="20"/>
        </w:rPr>
        <w:t>Creation/Acquisition of Subsidiaries.</w:t>
      </w:r>
      <w:r>
        <w:rPr>
          <w:rFonts w:ascii="Times New Roman" w:hAnsi="Times New Roman"/>
          <w:sz w:val="20"/>
        </w:rPr>
        <w:t xml:space="preserve"> In the event Borrower, or any of its Subsidiaries creates or acquires any Subsidiary (including, without limitation, pursuant to a Division), Borrower shall provide prior written notice to Collateral Agent (for distribution to the Lenders) of the creation or acquisition of such new Subsidiary and take all such action as may be reasonably required by Collateral Agent or any Lender to cause each such Subsidiary to become a co-Borrower hereunder or to guarantee the Obligations of Borrower under the Loan Documents and, in each case, grant a continuing pledge and security interest in and to the assets of such Subsidiary (substantially as described on </w:t>
      </w:r>
      <w:r>
        <w:rPr>
          <w:rFonts w:ascii="Times New Roman" w:hAnsi="Times New Roman"/>
          <w:sz w:val="20"/>
          <w:u w:val="single"/>
        </w:rPr>
        <w:t>Exhibit A</w:t>
      </w:r>
      <w:r>
        <w:rPr>
          <w:rFonts w:ascii="Times New Roman" w:hAnsi="Times New Roman"/>
          <w:sz w:val="20"/>
        </w:rPr>
        <w:t xml:space="preserve"> hereto); and Borrower (or its Subsidiary, as applicable) shall grant and pledge to Collateral Agent, for the ratable benefit of the Lenders, a perfected security interest in the Shares. </w:t>
      </w:r>
    </w:p>
    <w:p>
      <w:pPr>
        <w:pStyle w:val="TextBody"/>
        <w:bidi w:val="0"/>
        <w:spacing w:before="240" w:after="0"/>
        <w:jc w:val="left"/>
        <w:rPr>
          <w:rFonts w:ascii="Times New Roman" w:hAnsi="Times New Roman"/>
          <w:sz w:val="20"/>
        </w:rPr>
      </w:pPr>
      <w:r>
        <w:rPr>
          <w:rFonts w:ascii="Times New Roman" w:hAnsi="Times New Roman"/>
          <w:b/>
          <w:sz w:val="20"/>
        </w:rPr>
        <w:t>6.13</w:t>
      </w:r>
      <w:r>
        <w:rPr>
          <w:rFonts w:ascii="Times New Roman" w:hAnsi="Times New Roman"/>
          <w:sz w:val="20"/>
        </w:rPr>
        <w:t xml:space="preserve"> </w:t>
      </w:r>
      <w:r>
        <w:rPr>
          <w:rFonts w:ascii="Times New Roman" w:hAnsi="Times New Roman"/>
          <w:b/>
          <w:sz w:val="20"/>
        </w:rPr>
        <w:t>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Execute any further instruments and take further action as Collateral Agent or any Lender reasonably requests to perfect or continue Collateral Agent’s Lien in the Collateral or to effect the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Deliver to Collateral Agent (for distribution to the Lenders) ,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6.14</w:t>
      </w:r>
      <w:r>
        <w:rPr>
          <w:rFonts w:ascii="Times New Roman" w:hAnsi="Times New Roman"/>
          <w:sz w:val="20"/>
        </w:rPr>
        <w:t xml:space="preserve"> </w:t>
      </w:r>
      <w:r>
        <w:rPr>
          <w:rFonts w:ascii="Times New Roman" w:hAnsi="Times New Roman"/>
          <w:b/>
          <w:sz w:val="20"/>
        </w:rPr>
        <w:t>Minimum Cash Covenant</w:t>
      </w:r>
      <w:r>
        <w:rPr>
          <w:rFonts w:ascii="Times New Roman" w:hAnsi="Times New Roman"/>
          <w:sz w:val="20"/>
        </w:rPr>
        <w:t xml:space="preserve">. Beginning with the earlier of the Cash Covenant Commencement Date or the Cash Covenant Springing Date, Borrower must maintain at all times an aggregate unrestricted balance of cash and Cash Equivalents in Borrower’s Collateral Accounts (maintained in the Unites States that are subject to Control Agreements in favor of Collateral Agent after giving effect to the post-closing period provided to obtain such Control Agreements) of not less than the product of (i) the Cash Covenant Applicable Percentage multiplied by (ii) the aggregate principal amount of the Term Loans then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NEGATIVE COVENANTS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Borrower shall not, and shall not permit any of its Subsidiaries to, do any of the following without the prior written consent of the Required Lenders: </w:t>
      </w:r>
    </w:p>
    <w:p>
      <w:pPr>
        <w:pStyle w:val="TextBody"/>
        <w:bidi w:val="0"/>
        <w:spacing w:before="24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rPr>
        <w:t>Dispositions.</w:t>
      </w:r>
      <w:r>
        <w:rPr>
          <w:rFonts w:ascii="Times New Roman" w:hAnsi="Times New Roman"/>
          <w:sz w:val="20"/>
        </w:rPr>
        <w:t xml:space="preserve"> Convey, sell, lease, transfer, assign, or otherwise dispose of (including, without limitation, pursuant to a Division) (collectively, “</w:t>
      </w:r>
      <w:r>
        <w:rPr>
          <w:rFonts w:ascii="Times New Roman" w:hAnsi="Times New Roman"/>
          <w:b/>
          <w:sz w:val="20"/>
        </w:rPr>
        <w:t>Transfer</w:t>
      </w:r>
      <w:r>
        <w:rPr>
          <w:rFonts w:ascii="Times New Roman" w:hAnsi="Times New Roman"/>
          <w:sz w:val="20"/>
        </w:rPr>
        <w:t xml:space="preserve">”), or permit any of its Subsidiaries to Transfer, all or any part of its business or property, except for Transfers (a) of Inventory in the ordinary course of business (including, for the avoidance of doubt, pursuant to compassionate use and emergency use requests and clinical trials); (b) of worn out or obsolete Equipment; (c) of cash and Cash Equivalents in connection with transactions not prohibited hereunder in the ordinary course of business and not inconsistent with the then applicable Annual Projections approved by Borrower’s Board of Directors; (d) in connection with Permitted Royalty Financings, Permitted Liens, Permitted Investments and Permitted Licenses; (e) consisting of the lapse, abandonment, forfeiture or dedication to the public of any Intellectual Property that is not used in Borrower’s business as then conducted or proposed to be conducted and also does not have material market value; and (f) other Transfers not otherwise permitted under this Section 7.1 with a value not to exceed $500,000.00 in the aggregate in any fiscal year. </w:t>
      </w:r>
    </w:p>
    <w:p>
      <w:pPr>
        <w:pStyle w:val="TextBody"/>
        <w:bidi w:val="0"/>
        <w:spacing w:before="24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rPr>
        <w:t>Changes in Business, Management, Ownership, or Business Locations.</w:t>
      </w:r>
      <w:r>
        <w:rPr>
          <w:rFonts w:ascii="Times New Roman" w:hAnsi="Times New Roman"/>
          <w:sz w:val="20"/>
        </w:rPr>
        <w:t xml:space="preserve"> (a) Engage in or permit any of its Subsidiaries to engage in any business other than the businesses engaged in by Borrower as of the Effective Date or reasonably related thereto; (b) liquidate or dissolve, provided, that a Subsidiary of Borrower may liquidate or dissolve if, prior to such liquidation or dissolution, such Subsidiary shall transfer substantially all of its assets to the Borrower or a Guarantor, if such Subsidiary is a Borrower or Guarantor or to any other Subsidiary if such Subsidiary is not a Borrower or Guarantor; or (c) (i) any Key Person shall cease to be actively engaged in the management of Borrower unless written notice thereof is provided to Collateral Agent within five (5) days of such change, or (ii) consummate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venture capital investors so long as Borrower identifies to Collateral Agent the venture capital investors prior to the closing of the transaction). Borrower shall not, without at least ten (10) days’ prior written notice to Collateral Agent: (A) add any new offices or business locations in the United States of America, including warehouses (unless such new offices or business locations (i) contain Collateral with fair market value less than One Million Dollars ($1,000,000.00) in assets or property of Borrower or any of its Subsidiaries and (ii) are not Borrower’s or its Subsidiaries’ chief executive office); (B) change its jurisdiction of organization, (C) change its organizational structure or type, (D) change its legal name, or (E) change any organizational number (if any) assigned by its jurisdiction of organization. </w:t>
      </w:r>
    </w:p>
    <w:p>
      <w:pPr>
        <w:pStyle w:val="TextBody"/>
        <w:bidi w:val="0"/>
        <w:spacing w:before="24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rPr>
        <w:t>Mergers or Acquisitions.</w:t>
      </w:r>
      <w:r>
        <w:rPr>
          <w:rFonts w:ascii="Times New Roman" w:hAnsi="Times New Roman"/>
          <w:sz w:val="20"/>
        </w:rPr>
        <w:t xml:space="preserve"> Merge or consolidate, or permit any of its Subsidiaries to merge or consolidate, with any other Person, or acquire, or permit any of its Subsidiaries to acquire, all or substantially all of the capital stock, shares or property of another Person (including, without limitation, pursuant to a Division).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 </w:t>
      </w:r>
    </w:p>
    <w:p>
      <w:pPr>
        <w:pStyle w:val="TextBody"/>
        <w:bidi w:val="0"/>
        <w:spacing w:before="240" w:after="0"/>
        <w:jc w:val="left"/>
        <w:rPr>
          <w:rFonts w:ascii="Times New Roman" w:hAnsi="Times New Roman"/>
          <w:sz w:val="20"/>
        </w:rPr>
      </w:pPr>
      <w:r>
        <w:rPr>
          <w:rFonts w:ascii="Times New Roman" w:hAnsi="Times New Roman"/>
          <w:b/>
          <w:sz w:val="20"/>
        </w:rPr>
        <w:t>7.4</w:t>
      </w:r>
      <w:r>
        <w:rPr>
          <w:rFonts w:ascii="Times New Roman" w:hAnsi="Times New Roman"/>
          <w:sz w:val="20"/>
        </w:rPr>
        <w:t xml:space="preserve"> </w:t>
      </w:r>
      <w:r>
        <w:rPr>
          <w:rFonts w:ascii="Times New Roman" w:hAnsi="Times New Roman"/>
          <w:b/>
          <w:sz w:val="20"/>
        </w:rPr>
        <w:t>Indebtedness.</w:t>
      </w:r>
      <w:r>
        <w:rPr>
          <w:rFonts w:ascii="Times New Roman" w:hAnsi="Times New Roman"/>
          <w:sz w:val="20"/>
        </w:rPr>
        <w:t xml:space="preserve"> Create, incur, assume, or be liable for any Indebtedness, or permit any Subsidiary to do so, other than Permitted Indebtedness.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7.5</w:t>
      </w:r>
      <w:r>
        <w:rPr>
          <w:rFonts w:ascii="Times New Roman" w:hAnsi="Times New Roman"/>
          <w:sz w:val="20"/>
        </w:rPr>
        <w:t xml:space="preserve"> </w:t>
      </w:r>
      <w:r>
        <w:rPr>
          <w:rFonts w:ascii="Times New Roman" w:hAnsi="Times New Roman"/>
          <w:b/>
          <w:sz w:val="20"/>
        </w:rPr>
        <w:t>Encumbrance.</w:t>
      </w:r>
      <w:r>
        <w:rPr>
          <w:rFonts w:ascii="Times New Roman" w:hAnsi="Times New Roman"/>
          <w:sz w:val="20"/>
        </w:rPr>
        <w:t xml:space="preserve"> Create, incur, allow, or suffer any Lien on any of its property, or assign or convey any right to receive income, including the sale 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(i) as is otherwise permitted in Section 7.1 hereof and the definition of “</w:t>
      </w:r>
      <w:r>
        <w:rPr>
          <w:rFonts w:ascii="Times New Roman" w:hAnsi="Times New Roman"/>
          <w:b/>
          <w:sz w:val="20"/>
        </w:rPr>
        <w:t>Permitted Liens</w:t>
      </w:r>
      <w:r>
        <w:rPr>
          <w:rFonts w:ascii="Times New Roman" w:hAnsi="Times New Roman"/>
          <w:sz w:val="20"/>
        </w:rPr>
        <w:t xml:space="preserve">” herein, or (ii) customary restrictions on assignment and transfer in license agreements not material to Borrower’s business under which Borrower is the licensee. </w:t>
      </w:r>
    </w:p>
    <w:p>
      <w:pPr>
        <w:pStyle w:val="TextBody"/>
        <w:bidi w:val="0"/>
        <w:spacing w:before="240" w:after="0"/>
        <w:jc w:val="left"/>
        <w:rPr>
          <w:rFonts w:ascii="Times New Roman" w:hAnsi="Times New Roman"/>
          <w:sz w:val="20"/>
        </w:rPr>
      </w:pPr>
      <w:r>
        <w:rPr>
          <w:rFonts w:ascii="Times New Roman" w:hAnsi="Times New Roman"/>
          <w:b/>
          <w:sz w:val="20"/>
        </w:rPr>
        <w:t>7.6</w:t>
      </w:r>
      <w:r>
        <w:rPr>
          <w:rFonts w:ascii="Times New Roman" w:hAnsi="Times New Roman"/>
          <w:sz w:val="20"/>
        </w:rPr>
        <w:t xml:space="preserve"> </w:t>
      </w:r>
      <w:r>
        <w:rPr>
          <w:rFonts w:ascii="Times New Roman" w:hAnsi="Times New Roman"/>
          <w:b/>
          <w:sz w:val="20"/>
        </w:rPr>
        <w:t>Maintenance of Collateral Accounts.</w:t>
      </w:r>
      <w:r>
        <w:rPr>
          <w:rFonts w:ascii="Times New Roman" w:hAnsi="Times New Roman"/>
          <w:sz w:val="20"/>
        </w:rPr>
        <w:t xml:space="preserve"> Maintain any Collateral Account except pursuant to the terms of Section 6.6 hereof. </w:t>
      </w:r>
    </w:p>
    <w:p>
      <w:pPr>
        <w:pStyle w:val="TextBody"/>
        <w:bidi w:val="0"/>
        <w:spacing w:before="240" w:after="0"/>
        <w:jc w:val="left"/>
        <w:rPr>
          <w:rFonts w:ascii="Times New Roman" w:hAnsi="Times New Roman"/>
          <w:sz w:val="20"/>
        </w:rPr>
      </w:pPr>
      <w:r>
        <w:rPr>
          <w:rFonts w:ascii="Times New Roman" w:hAnsi="Times New Roman"/>
          <w:b/>
          <w:sz w:val="20"/>
        </w:rPr>
        <w:t>7.7</w:t>
      </w:r>
      <w:r>
        <w:rPr>
          <w:rFonts w:ascii="Times New Roman" w:hAnsi="Times New Roman"/>
          <w:sz w:val="20"/>
        </w:rPr>
        <w:t xml:space="preserve"> </w:t>
      </w:r>
      <w:r>
        <w:rPr>
          <w:rFonts w:ascii="Times New Roman" w:hAnsi="Times New Roman"/>
          <w:b/>
          <w:sz w:val="20"/>
        </w:rPr>
        <w:t>Distributions; Investments.</w:t>
      </w:r>
      <w:r>
        <w:rPr>
          <w:rFonts w:ascii="Times New Roman" w:hAnsi="Times New Roman"/>
          <w:sz w:val="20"/>
        </w:rPr>
        <w:t xml:space="preserve"> (a) Pay any dividends (other than dividends payable solely in capital stock) or make any distribution or payment in respect of or redeem, retire or purchase any capital stock, provided that the Borrower and its Subsidiaries may (i) make repurchases pursuant to the terms of employee stock purchase plans, employee restricted stock agreements, stockholder rights plans, director or consultant stock option plans, or similar plans, provided such repurchases do not exceed Five Hundred Thousand Dollars ($500,000.00) in the aggregate per fiscal year, (ii) convert or exchange any of its pre-funded warrants and/or convertible securities into or for other equity securities pursuant to the terms of such pre-funded warrants and/or convertible securities or otherwise in exchange thereof, (iii) make de minimis payments in lieu of fractional shares, provided, that the aggregate amount of such payments during any given fiscal year does not exceed One Hundred Thousand Dollars ($100,000.00), (iv) purchases of capital stock or options, warrants or other agreements to acquire such capital stock with the proceeds received from a substantially concurrent issuance of capital stock or convertible securities; provided that such purchases do not exceed $500,000.00 in the aggregate per fiscal year, (v) purchases of capital stock pledged as collateral for loans to employees; provided that such purchases do not exceed $500,000.00 in the aggregate per fiscal year, (vi) purchases of capital stock in connection with the exercise of stock options, warrants or other equity awards by way of cashless exercise or in connection with the satisfaction of withholding tax obligations; provided, that no cash payment shall be made by Borrower pursuant to such purchases, (vii) purchases for value of any rights distributed in connection with any stockholder rights plan, provided the aggregate cash payments in connection therewith during any fiscal year do not exceed One Hundred Thousand Dollars ($100,000.00) and (viii) Subsidiaries of the Borrower may make distributions to Borrower, or (b) directly or indirectly make any Investment other than Permitted Investments, or permit any of its Subsidiaries to do so. </w:t>
      </w:r>
    </w:p>
    <w:p>
      <w:pPr>
        <w:pStyle w:val="TextBody"/>
        <w:bidi w:val="0"/>
        <w:spacing w:before="240" w:after="0"/>
        <w:jc w:val="left"/>
        <w:rPr>
          <w:rFonts w:ascii="Times New Roman" w:hAnsi="Times New Roman"/>
          <w:sz w:val="20"/>
        </w:rPr>
      </w:pPr>
      <w:r>
        <w:rPr>
          <w:rFonts w:ascii="Times New Roman" w:hAnsi="Times New Roman"/>
          <w:b/>
          <w:sz w:val="20"/>
        </w:rPr>
        <w:t>7.8</w:t>
      </w:r>
      <w:r>
        <w:rPr>
          <w:rFonts w:ascii="Times New Roman" w:hAnsi="Times New Roman"/>
          <w:sz w:val="20"/>
        </w:rPr>
        <w:t xml:space="preserve"> </w:t>
      </w:r>
      <w:r>
        <w:rPr>
          <w:rFonts w:ascii="Times New Roman" w:hAnsi="Times New Roman"/>
          <w:b/>
          <w:sz w:val="20"/>
        </w:rPr>
        <w:t>Transactions with Affiliates.</w:t>
      </w:r>
      <w:r>
        <w:rPr>
          <w:rFonts w:ascii="Times New Roman" w:hAnsi="Times New Roman"/>
          <w:sz w:val="20"/>
        </w:rPr>
        <w:t xml:space="preserve"> Directly or indirectly enter into or permit to exist any material transaction with any Affiliate of Borrower or any of 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(b) Subordinated Debt or equity investments by Borrower’s investors in Borrower or its Subsidiaries, (c) transactions between the Borrower and its Subsidiaries permitted by the terms of this Agreement, (d) transactions permitted under Section 7.7, (e) reasonable and customary director, officer and employee compensation arrangements and other customary benefits including retirement, health, stock option and other benefit plans and indemnification arrangements approved by the Board or a duly authorized committee thereof and in keeping with the then applicable Annual Projections, (f) reasonable and customary fees paid to members of the Board in the ordinary course of business, and (g) employee agreements or arrangements, compensation arrangements and reimbursement of expenses, including retention bonuses, of current officers, employees or directors in the ordinary course of business or otherwise approved by the applicable Borrower or Subsidiary’s Board of Directors and, if applicable, in keeping with the then applicable Annual Projections. </w:t>
      </w:r>
    </w:p>
    <w:p>
      <w:pPr>
        <w:pStyle w:val="TextBody"/>
        <w:bidi w:val="0"/>
        <w:spacing w:before="240" w:after="0"/>
        <w:jc w:val="left"/>
        <w:rPr>
          <w:rFonts w:ascii="Times New Roman" w:hAnsi="Times New Roman"/>
          <w:sz w:val="20"/>
        </w:rPr>
      </w:pPr>
      <w:r>
        <w:rPr>
          <w:rFonts w:ascii="Times New Roman" w:hAnsi="Times New Roman"/>
          <w:b/>
          <w:sz w:val="20"/>
        </w:rPr>
        <w:t>7.9</w:t>
      </w:r>
      <w:r>
        <w:rPr>
          <w:rFonts w:ascii="Times New Roman" w:hAnsi="Times New Roman"/>
          <w:sz w:val="20"/>
        </w:rPr>
        <w:t xml:space="preserve"> </w:t>
      </w:r>
      <w:r>
        <w:rPr>
          <w:rFonts w:ascii="Times New Roman" w:hAnsi="Times New Roman"/>
          <w:b/>
          <w:sz w:val="20"/>
        </w:rPr>
        <w:t>Subordinated Debt.</w:t>
      </w:r>
      <w:r>
        <w:rPr>
          <w:rFonts w:ascii="Times New Roman" w:hAnsi="Times New Roman"/>
          <w:sz w:val="20"/>
        </w:rPr>
        <w:t xml:space="preserve"> (a) Make or permit any payment on any Subordinated Debt, except under the terms of the subordination, intercreditor, or other similar agreement to which such Subordinated Debt is subject, or (b) amend any provision in any document relating to the Subordinated Debt which would increase the amount thereof, except in accordance with the terms of the subordination, intercreditor, or other similar agreement to which such Subordinated Debt is subject, or adversely affect the subordination thereof to Obligations owed to the Lenders.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7.10</w:t>
      </w:r>
      <w:r>
        <w:rPr>
          <w:rFonts w:ascii="Times New Roman" w:hAnsi="Times New Roman"/>
          <w:sz w:val="20"/>
        </w:rPr>
        <w:t xml:space="preserve"> </w:t>
      </w:r>
      <w:r>
        <w:rPr>
          <w:rFonts w:ascii="Times New Roman" w:hAnsi="Times New Roman"/>
          <w:b/>
          <w:sz w:val="20"/>
        </w:rPr>
        <w:t>Compliance.</w:t>
      </w:r>
      <w:r>
        <w:rPr>
          <w:rFonts w:ascii="Times New Roman" w:hAnsi="Times New Roman"/>
          <w:sz w:val="20"/>
        </w:rPr>
        <w:t xml:space="preserve">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 </w:t>
      </w:r>
    </w:p>
    <w:p>
      <w:pPr>
        <w:pStyle w:val="TextBody"/>
        <w:bidi w:val="0"/>
        <w:spacing w:before="240" w:after="0"/>
        <w:jc w:val="left"/>
        <w:rPr>
          <w:rFonts w:ascii="Times New Roman" w:hAnsi="Times New Roman"/>
          <w:sz w:val="20"/>
        </w:rPr>
      </w:pPr>
      <w:r>
        <w:rPr>
          <w:rFonts w:ascii="Times New Roman" w:hAnsi="Times New Roman"/>
          <w:b/>
          <w:sz w:val="20"/>
        </w:rPr>
        <w:t>7.11</w:t>
      </w:r>
      <w:r>
        <w:rPr>
          <w:rFonts w:ascii="Times New Roman" w:hAnsi="Times New Roman"/>
          <w:sz w:val="20"/>
        </w:rPr>
        <w:t xml:space="preserve"> </w:t>
      </w:r>
      <w:r>
        <w:rPr>
          <w:rFonts w:ascii="Times New Roman" w:hAnsi="Times New Roman"/>
          <w:b/>
          <w:sz w:val="20"/>
        </w:rPr>
        <w:t>Compliance with Anti-Terrorism Laws.</w:t>
      </w:r>
      <w:r>
        <w:rPr>
          <w:rFonts w:ascii="Times New Roman" w:hAnsi="Times New Roman"/>
          <w:sz w:val="20"/>
        </w:rPr>
        <w:t xml:space="preserve"> Collateral Agent hereby notifies Borrower and each of its Subsidiaries that pursuant to the requirements 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Collateral Agent to identify such party in accordance with Anti-Terrorism Laws. Neither Borrower nor any of its Subsidiaries shall, nor shall Borrower or any of its Subsidiaries permit any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w:t>
      </w:r>
      <w:r>
        <w:rPr>
          <w:rFonts w:ascii="Times New Roman" w:hAnsi="Times New Roman"/>
          <w:i/>
          <w:sz w:val="20"/>
        </w:rPr>
        <w:t>nolo contendere</w:t>
      </w:r>
      <w:r>
        <w:rPr>
          <w:rFonts w:ascii="Times New Roman" w:hAnsi="Times New Roman"/>
          <w:sz w:val="20"/>
        </w:rPr>
        <w:t xml:space="preserve"> to, (c) is indicted on, or (d) is arraigned and held over on charges involving money laundering or predicate crimes to money laundering.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 </w:t>
      </w:r>
    </w:p>
    <w:p>
      <w:pPr>
        <w:pStyle w:val="TextBody"/>
        <w:bidi w:val="0"/>
        <w:spacing w:before="240" w:after="0"/>
        <w:jc w:val="left"/>
        <w:rPr>
          <w:rFonts w:ascii="Times New Roman" w:hAnsi="Times New Roman"/>
          <w:sz w:val="20"/>
        </w:rPr>
      </w:pPr>
      <w:r>
        <w:rPr>
          <w:rFonts w:ascii="Times New Roman" w:hAnsi="Times New Roman"/>
          <w:b/>
          <w:sz w:val="20"/>
        </w:rPr>
        <w:t>7.12</w:t>
      </w:r>
      <w:r>
        <w:rPr>
          <w:rFonts w:ascii="Times New Roman" w:hAnsi="Times New Roman"/>
          <w:sz w:val="20"/>
        </w:rPr>
        <w:t xml:space="preserve"> </w:t>
      </w:r>
      <w:r>
        <w:rPr>
          <w:rFonts w:ascii="Times New Roman" w:hAnsi="Times New Roman"/>
          <w:b/>
          <w:sz w:val="20"/>
        </w:rPr>
        <w:t>Australian Sub.</w:t>
      </w:r>
      <w:r>
        <w:rPr>
          <w:rFonts w:ascii="Times New Roman" w:hAnsi="Times New Roman"/>
          <w:sz w:val="20"/>
        </w:rPr>
        <w:t xml:space="preserve"> Allow the Australian Sub to hold assets with a value in excess of One Hundred Thousand Dollars ($100,000.00) at any given time or to hold any Intellectual Property material to the business of Borrower as then conducted or proposed to be conducted.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EVENTS OF DEFAULT</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Any one of the following shall constitute an event of default (an “</w:t>
      </w:r>
      <w:r>
        <w:rPr>
          <w:rFonts w:ascii="Times New Roman" w:hAnsi="Times New Roman"/>
          <w:b/>
          <w:sz w:val="20"/>
        </w:rPr>
        <w:t>Event of Default</w:t>
      </w:r>
      <w:r>
        <w:rPr>
          <w:rFonts w:ascii="Times New Roman" w:hAnsi="Times New Roman"/>
          <w:sz w:val="20"/>
        </w:rPr>
        <w:t xml:space="preserve">”) under this Agreement: </w:t>
      </w:r>
    </w:p>
    <w:p>
      <w:pPr>
        <w:pStyle w:val="TextBody"/>
        <w:bidi w:val="0"/>
        <w:spacing w:before="240" w:after="0"/>
        <w:jc w:val="left"/>
        <w:rPr>
          <w:rFonts w:ascii="Times New Roman" w:hAnsi="Times New Roman"/>
          <w:sz w:val="20"/>
        </w:rPr>
      </w:pPr>
      <w:r>
        <w:rPr>
          <w:rFonts w:ascii="Times New Roman" w:hAnsi="Times New Roman"/>
          <w:b/>
          <w:sz w:val="20"/>
        </w:rPr>
        <w:t>8.1</w:t>
      </w:r>
      <w:r>
        <w:rPr>
          <w:rFonts w:ascii="Times New Roman" w:hAnsi="Times New Roman"/>
          <w:sz w:val="20"/>
        </w:rPr>
        <w:t xml:space="preserve"> </w:t>
      </w:r>
      <w:r>
        <w:rPr>
          <w:rFonts w:ascii="Times New Roman" w:hAnsi="Times New Roman"/>
          <w:b/>
          <w:sz w:val="20"/>
        </w:rPr>
        <w:t>Payment Default.</w:t>
      </w:r>
      <w:r>
        <w:rPr>
          <w:rFonts w:ascii="Times New Roman" w:hAnsi="Times New Roman"/>
          <w:sz w:val="20"/>
        </w:rPr>
        <w:t xml:space="preserve"> Borrower fails to (a) make any payment of principal or interest on any Credit Extension on its due date, or (b) pay any other 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 </w:t>
      </w:r>
    </w:p>
    <w:p>
      <w:pPr>
        <w:pStyle w:val="TextBody"/>
        <w:bidi w:val="0"/>
        <w:spacing w:before="240" w:after="0"/>
        <w:jc w:val="left"/>
        <w:rPr>
          <w:rFonts w:ascii="Times New Roman" w:hAnsi="Times New Roman"/>
          <w:b/>
          <w:sz w:val="20"/>
        </w:rPr>
      </w:pPr>
      <w:r>
        <w:rPr>
          <w:rFonts w:ascii="Times New Roman" w:hAnsi="Times New Roman"/>
          <w:b/>
          <w:sz w:val="20"/>
        </w:rPr>
        <w:t xml:space="preserve">8.2 Covenant Default. </w:t>
      </w:r>
    </w:p>
    <w:p>
      <w:pPr>
        <w:pStyle w:val="TextBody"/>
        <w:bidi w:val="0"/>
        <w:spacing w:before="240" w:after="0"/>
        <w:jc w:val="left"/>
        <w:rPr>
          <w:rFonts w:ascii="Times New Roman" w:hAnsi="Times New Roman"/>
          <w:sz w:val="20"/>
        </w:rPr>
      </w:pPr>
      <w:r>
        <w:rPr>
          <w:rFonts w:ascii="Times New Roman" w:hAnsi="Times New Roman"/>
          <w:sz w:val="20"/>
        </w:rPr>
        <w:t xml:space="preserve">(a) Borrower or any of its Subsidiaries fails or neglects to perform any obligation in Sections 6.2 (Financial Statements, Reports, Certificates), 6.4 (Taxes), 6.5 (Insurance), 6.6 (Operating Accounts), 6.7 (Protection of Intellectual Property Rights), 6.9 (Notice of Litigation and Default), 6.10 (Financial Covenant), 6.11 (Landlord Waivers; Bailee Waivers), 6.12 (Creation/Acquisition of Subsidiaries), 6.13 (Further Assurances) or 6.14 (Minimum Cash Balance) or Borrower violates any covenant in Section 7;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be cured within such fifteen (15)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 </w:t>
      </w:r>
    </w:p>
    <w:p>
      <w:pPr>
        <w:pStyle w:val="TextBody"/>
        <w:bidi w:val="0"/>
        <w:spacing w:before="240" w:after="0"/>
        <w:jc w:val="left"/>
        <w:rPr>
          <w:rFonts w:ascii="Times New Roman" w:hAnsi="Times New Roman"/>
          <w:sz w:val="20"/>
        </w:rPr>
      </w:pPr>
      <w:r>
        <w:rPr>
          <w:rFonts w:ascii="Times New Roman" w:hAnsi="Times New Roman"/>
          <w:b/>
          <w:sz w:val="20"/>
        </w:rPr>
        <w:t>8.3</w:t>
      </w:r>
      <w:r>
        <w:rPr>
          <w:rFonts w:ascii="Times New Roman" w:hAnsi="Times New Roman"/>
          <w:sz w:val="20"/>
        </w:rPr>
        <w:t xml:space="preserve"> </w:t>
      </w:r>
      <w:r>
        <w:rPr>
          <w:rFonts w:ascii="Times New Roman" w:hAnsi="Times New Roman"/>
          <w:b/>
          <w:sz w:val="20"/>
        </w:rPr>
        <w:t>Material Adverse Change.</w:t>
      </w:r>
      <w:r>
        <w:rPr>
          <w:rFonts w:ascii="Times New Roman" w:hAnsi="Times New Roman"/>
          <w:sz w:val="20"/>
        </w:rPr>
        <w:t xml:space="preserve"> A Material Adverse Change occurs; </w:t>
      </w:r>
    </w:p>
    <w:p>
      <w:pPr>
        <w:pStyle w:val="TextBody"/>
        <w:bidi w:val="0"/>
        <w:spacing w:before="240" w:after="0"/>
        <w:jc w:val="left"/>
        <w:rPr>
          <w:rFonts w:ascii="Times New Roman" w:hAnsi="Times New Roman"/>
          <w:b/>
          <w:sz w:val="20"/>
        </w:rPr>
      </w:pPr>
      <w:r>
        <w:rPr>
          <w:rFonts w:ascii="Times New Roman" w:hAnsi="Times New Roman"/>
          <w:b/>
          <w:sz w:val="20"/>
        </w:rPr>
        <w:t xml:space="preserve">8.4 Attachment; Levy; Restraint on Business. </w:t>
      </w:r>
    </w:p>
    <w:p>
      <w:pPr>
        <w:pStyle w:val="TextBody"/>
        <w:bidi w:val="0"/>
        <w:spacing w:before="240" w:after="0"/>
        <w:jc w:val="left"/>
        <w:rPr>
          <w:rFonts w:ascii="Times New Roman" w:hAnsi="Times New Roman"/>
          <w:sz w:val="20"/>
        </w:rPr>
      </w:pPr>
      <w:r>
        <w:rPr>
          <w:rFonts w:ascii="Times New Roman" w:hAnsi="Times New Roman"/>
          <w:sz w:val="20"/>
        </w:rPr>
        <w:t xml:space="preserve">(a) (i)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in excess of Fifty Thousand Dollars ($50,000.00) or (ii) a notice of lien, levy, or assessment is filed against Borrower or any of its Subsidiaries or their respective assets, in excess of Fifty Thousand Dollars ($50,000.00) by any government agency (other than as permitted under Sections 5.8 and 6.4), and the same under subclauses (i) and (ii) hereof are not, within ten (10) days after the occurrence thereof, discharged or stayed (whether through the posting of a bond or otherwise); provided, however, no Credit Extensions shall be made during any ten (10) day cure period; and </w:t>
      </w:r>
    </w:p>
    <w:p>
      <w:pPr>
        <w:pStyle w:val="TextBody"/>
        <w:bidi w:val="0"/>
        <w:spacing w:before="240" w:after="0"/>
        <w:jc w:val="left"/>
        <w:rPr>
          <w:rFonts w:ascii="Times New Roman" w:hAnsi="Times New Roman"/>
          <w:sz w:val="20"/>
        </w:rPr>
      </w:pPr>
      <w:r>
        <w:rPr>
          <w:rFonts w:ascii="Times New Roman" w:hAnsi="Times New Roman"/>
          <w:sz w:val="20"/>
        </w:rPr>
        <w:t xml:space="preserve">(b) (i) any material portion of Borrower’s or any of its Subsidiaries’ assets is attached, seized, levied on, or comes into possession of a trustee or receiver, or (ii) any court order enjoins, restrains, or prevents Borrower or any of its Subsidiaries from conducting any part of its business; </w:t>
      </w:r>
    </w:p>
    <w:p>
      <w:pPr>
        <w:pStyle w:val="TextBody"/>
        <w:bidi w:val="0"/>
        <w:spacing w:before="240" w:after="0"/>
        <w:jc w:val="left"/>
        <w:rPr>
          <w:rFonts w:ascii="Times New Roman" w:hAnsi="Times New Roman"/>
          <w:sz w:val="20"/>
        </w:rPr>
      </w:pPr>
      <w:r>
        <w:rPr>
          <w:rFonts w:ascii="Times New Roman" w:hAnsi="Times New Roman"/>
          <w:b/>
          <w:sz w:val="20"/>
        </w:rPr>
        <w:t>8.5</w:t>
      </w:r>
      <w:r>
        <w:rPr>
          <w:rFonts w:ascii="Times New Roman" w:hAnsi="Times New Roman"/>
          <w:sz w:val="20"/>
        </w:rPr>
        <w:t xml:space="preserve"> </w:t>
      </w:r>
      <w:r>
        <w:rPr>
          <w:rFonts w:ascii="Times New Roman" w:hAnsi="Times New Roman"/>
          <w:b/>
          <w:sz w:val="20"/>
        </w:rPr>
        <w:t>Insolvency.</w:t>
      </w:r>
      <w:r>
        <w:rPr>
          <w:rFonts w:ascii="Times New Roman" w:hAnsi="Times New Roman"/>
          <w:sz w:val="20"/>
        </w:rPr>
        <w:t xml:space="preserve"> (a) Borrower is or becomes Insolvent, or Borrower and its Subsidiaries, taken as a whole, are or become Insolvent; (b) Borrower or any of its Subsidiaries begins an Insolvency Proceeding; or (c) an Insolvency Proceeding is begun against Borrower or any of its Subsidiaries and not dismissed or stayed within forty-five (45) days (but no Credit Extensions shall be made while Borrower or any Subsidiary is Insolvent and/or until any Insolvency Proceeding is dismissed); </w:t>
      </w:r>
    </w:p>
    <w:p>
      <w:pPr>
        <w:pStyle w:val="TextBody"/>
        <w:bidi w:val="0"/>
        <w:spacing w:before="240" w:after="0"/>
        <w:jc w:val="left"/>
        <w:rPr>
          <w:rFonts w:ascii="Times New Roman" w:hAnsi="Times New Roman"/>
          <w:sz w:val="20"/>
        </w:rPr>
      </w:pPr>
      <w:r>
        <w:rPr>
          <w:rFonts w:ascii="Times New Roman" w:hAnsi="Times New Roman"/>
          <w:b/>
          <w:sz w:val="20"/>
        </w:rPr>
        <w:t>8.6</w:t>
      </w:r>
      <w:r>
        <w:rPr>
          <w:rFonts w:ascii="Times New Roman" w:hAnsi="Times New Roman"/>
          <w:sz w:val="20"/>
        </w:rPr>
        <w:t xml:space="preserve"> </w:t>
      </w:r>
      <w:r>
        <w:rPr>
          <w:rFonts w:ascii="Times New Roman" w:hAnsi="Times New Roman"/>
          <w:b/>
          <w:sz w:val="20"/>
        </w:rPr>
        <w:t>Other Agreements.</w:t>
      </w:r>
      <w:r>
        <w:rPr>
          <w:rFonts w:ascii="Times New Roman" w:hAnsi="Times New Roman"/>
          <w:sz w:val="20"/>
        </w:rPr>
        <w:t xml:space="preserve"> There is a default in any agreement to which Borrower or any of its Subsidiaries is a party with a third party or parties resulting in a right by such third party or parties, whether or not exercised, to accelerate the maturity of any Indebtedness (after giving effect to any grace or cure periods contained therein) in an amount in excess of Five Hundred Thousand Dollars ($500,000.00) or that could reasonably be expected to have a Material Adverse Change; provided, however, that the Event of Default under this Section 8.6 caused by the occurrence of a breach or default under such other agreement shall be cured or waived for purposes of this Agreement upon Collateral Agent receiving written notice from (or an agreement executed by) the party asserting such breach or default of such cure or waiver of the breach or default under such other agreement, if at the time of such cure or waiver under such other agreement, (x) Collateral Agent has not declared an Event of Default under this Agreement and/or exercised any rights with respect thereto, (y) 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Collateral Agent be materially less advantageous to Borrower or any Guarantor; </w:t>
      </w:r>
    </w:p>
    <w:p>
      <w:pPr>
        <w:pStyle w:val="TextBody"/>
        <w:bidi w:val="0"/>
        <w:spacing w:before="240" w:after="0"/>
        <w:jc w:val="left"/>
        <w:rPr>
          <w:rFonts w:ascii="Times New Roman" w:hAnsi="Times New Roman"/>
          <w:sz w:val="20"/>
        </w:rPr>
      </w:pPr>
      <w:r>
        <w:rPr>
          <w:rFonts w:ascii="Times New Roman" w:hAnsi="Times New Roman"/>
          <w:b/>
          <w:sz w:val="20"/>
        </w:rPr>
        <w:t>8.7</w:t>
      </w:r>
      <w:r>
        <w:rPr>
          <w:rFonts w:ascii="Times New Roman" w:hAnsi="Times New Roman"/>
          <w:sz w:val="20"/>
        </w:rPr>
        <w:t xml:space="preserve"> </w:t>
      </w:r>
      <w:r>
        <w:rPr>
          <w:rFonts w:ascii="Times New Roman" w:hAnsi="Times New Roman"/>
          <w:b/>
          <w:sz w:val="20"/>
        </w:rPr>
        <w:t>Judgments.</w:t>
      </w:r>
      <w:r>
        <w:rPr>
          <w:rFonts w:ascii="Times New Roman" w:hAnsi="Times New Roman"/>
          <w:sz w:val="20"/>
        </w:rPr>
        <w:t xml:space="preserve"> One or more judgments, orders, or decrees for the payment of money in an amount, individually or in the aggregate, of at least Five Hundred Thousand Dollars ($500,000.00) (not covered by independent third-party insurance as to which liability has been accepted by such insurance carrier) shall be rendered against Borrower or any of its Subsidiaries and shall remain unsatisfied, unvacated, or unstayed for a period of twenty (20) days after the entry thereof (provided that no Credit Extensions will be made prior to the satisfaction, vacation, or stay of such judgment, order or decree);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8.8</w:t>
      </w:r>
      <w:r>
        <w:rPr>
          <w:rFonts w:ascii="Times New Roman" w:hAnsi="Times New Roman"/>
          <w:sz w:val="20"/>
        </w:rPr>
        <w:t xml:space="preserve"> </w:t>
      </w:r>
      <w:r>
        <w:rPr>
          <w:rFonts w:ascii="Times New Roman" w:hAnsi="Times New Roman"/>
          <w:b/>
          <w:sz w:val="20"/>
        </w:rPr>
        <w:t>Misrepresentations.</w:t>
      </w:r>
      <w:r>
        <w:rPr>
          <w:rFonts w:ascii="Times New Roman" w:hAnsi="Times New Roman"/>
          <w:sz w:val="20"/>
        </w:rPr>
        <w:t xml:space="preserve"> Borrower or any of its Subsidiaries or any Person acting for Borrower or any of its Subsidiaries makes any 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 </w:t>
      </w:r>
    </w:p>
    <w:p>
      <w:pPr>
        <w:pStyle w:val="TextBody"/>
        <w:bidi w:val="0"/>
        <w:spacing w:before="240" w:after="0"/>
        <w:jc w:val="left"/>
        <w:rPr>
          <w:rFonts w:ascii="Times New Roman" w:hAnsi="Times New Roman"/>
          <w:sz w:val="20"/>
        </w:rPr>
      </w:pPr>
      <w:r>
        <w:rPr>
          <w:rFonts w:ascii="Times New Roman" w:hAnsi="Times New Roman"/>
          <w:b/>
          <w:sz w:val="20"/>
        </w:rPr>
        <w:t>8.9</w:t>
      </w:r>
      <w:r>
        <w:rPr>
          <w:rFonts w:ascii="Times New Roman" w:hAnsi="Times New Roman"/>
          <w:sz w:val="20"/>
        </w:rPr>
        <w:t xml:space="preserve"> </w:t>
      </w:r>
      <w:r>
        <w:rPr>
          <w:rFonts w:ascii="Times New Roman" w:hAnsi="Times New Roman"/>
          <w:b/>
          <w:sz w:val="20"/>
        </w:rPr>
        <w:t>Subordinated Debt.</w:t>
      </w:r>
      <w:r>
        <w:rPr>
          <w:rFonts w:ascii="Times New Roman" w:hAnsi="Times New Roman"/>
          <w:sz w:val="20"/>
        </w:rPr>
        <w:t xml:space="preserve"> A default or breach occurs under any agreement between Borrower or any of its Subsidiaries and any creditor of Borrower or any of its Subsidiaries that signed a subordination, intercreditor, or other similar agreement with Collateral Agent or the Lenders, or any creditor that has signed such an agreement with Collateral Agent or the Lenders breaches any terms of such agreement; </w:t>
      </w:r>
    </w:p>
    <w:p>
      <w:pPr>
        <w:pStyle w:val="TextBody"/>
        <w:bidi w:val="0"/>
        <w:spacing w:before="240" w:after="0"/>
        <w:jc w:val="left"/>
        <w:rPr>
          <w:rFonts w:ascii="Times New Roman" w:hAnsi="Times New Roman"/>
          <w:sz w:val="20"/>
        </w:rPr>
      </w:pPr>
      <w:r>
        <w:rPr>
          <w:rFonts w:ascii="Times New Roman" w:hAnsi="Times New Roman"/>
          <w:b/>
          <w:sz w:val="20"/>
        </w:rPr>
        <w:t>8.10</w:t>
      </w:r>
      <w:r>
        <w:rPr>
          <w:rFonts w:ascii="Times New Roman" w:hAnsi="Times New Roman"/>
          <w:sz w:val="20"/>
        </w:rPr>
        <w:t xml:space="preserve"> </w:t>
      </w:r>
      <w:r>
        <w:rPr>
          <w:rFonts w:ascii="Times New Roman" w:hAnsi="Times New Roman"/>
          <w:b/>
          <w:sz w:val="20"/>
        </w:rPr>
        <w:t>Guaranty.</w:t>
      </w:r>
      <w:r>
        <w:rPr>
          <w:rFonts w:ascii="Times New Roman" w:hAnsi="Times New Roman"/>
          <w:sz w:val="20"/>
        </w:rPr>
        <w:t xml:space="preserve"> (a) Any Guaranty terminates or ceases for any reason to be in full force and effect; (b) any Guarantor does not perform any obligation or covenant under any Guaranty; (c) any circumstance described in Sections 8.3, 8.4, 8.5, 8.7, or 8.8 occurs with respect to any Guarantor, or (d) liquidation, winding up, or termination of existence of any Guarantor; </w:t>
      </w:r>
    </w:p>
    <w:p>
      <w:pPr>
        <w:pStyle w:val="TextBody"/>
        <w:bidi w:val="0"/>
        <w:spacing w:before="240" w:after="0"/>
        <w:jc w:val="left"/>
        <w:rPr>
          <w:rFonts w:ascii="Times New Roman" w:hAnsi="Times New Roman"/>
          <w:sz w:val="20"/>
        </w:rPr>
      </w:pPr>
      <w:r>
        <w:rPr>
          <w:rFonts w:ascii="Times New Roman" w:hAnsi="Times New Roman"/>
          <w:b/>
          <w:sz w:val="20"/>
        </w:rPr>
        <w:t>8.11</w:t>
      </w:r>
      <w:r>
        <w:rPr>
          <w:rFonts w:ascii="Times New Roman" w:hAnsi="Times New Roman"/>
          <w:sz w:val="20"/>
        </w:rPr>
        <w:t xml:space="preserve"> </w:t>
      </w:r>
      <w:r>
        <w:rPr>
          <w:rFonts w:ascii="Times New Roman" w:hAnsi="Times New Roman"/>
          <w:b/>
          <w:sz w:val="20"/>
        </w:rPr>
        <w:t>Governmental Approvals.</w:t>
      </w:r>
      <w:r>
        <w:rPr>
          <w:rFonts w:ascii="Times New Roman" w:hAnsi="Times New Roman"/>
          <w:sz w:val="20"/>
        </w:rPr>
        <w:t xml:space="preserve"> Any Governmental Approval shall have been revoked, rescinded, suspended, modified in an adverse manner, or not renewed in the ordinary course for a full term </w:t>
      </w:r>
      <w:r>
        <w:rPr>
          <w:rFonts w:ascii="Times New Roman" w:hAnsi="Times New Roman"/>
          <w:i/>
          <w:sz w:val="20"/>
        </w:rPr>
        <w:t>and</w:t>
      </w:r>
      <w:r>
        <w:rPr>
          <w:rFonts w:ascii="Times New Roman" w:hAnsi="Times New Roman"/>
          <w:sz w:val="20"/>
        </w:rPr>
        <w:t xml:space="preserve"> such revocation, rescission, suspension, modification or non-renewal has resulted in or could reasonably be expected to result in a Material Adverse Change; or </w:t>
      </w:r>
    </w:p>
    <w:p>
      <w:pPr>
        <w:pStyle w:val="TextBody"/>
        <w:bidi w:val="0"/>
        <w:spacing w:before="240" w:after="0"/>
        <w:jc w:val="left"/>
        <w:rPr>
          <w:rFonts w:ascii="Times New Roman" w:hAnsi="Times New Roman"/>
          <w:sz w:val="20"/>
        </w:rPr>
      </w:pPr>
      <w:r>
        <w:rPr>
          <w:rFonts w:ascii="Times New Roman" w:hAnsi="Times New Roman"/>
          <w:b/>
          <w:sz w:val="20"/>
        </w:rPr>
        <w:t>8.12</w:t>
      </w:r>
      <w:r>
        <w:rPr>
          <w:rFonts w:ascii="Times New Roman" w:hAnsi="Times New Roman"/>
          <w:sz w:val="20"/>
        </w:rPr>
        <w:t xml:space="preserve"> </w:t>
      </w:r>
      <w:r>
        <w:rPr>
          <w:rFonts w:ascii="Times New Roman" w:hAnsi="Times New Roman"/>
          <w:b/>
          <w:sz w:val="20"/>
        </w:rPr>
        <w:t>Lien Priority</w:t>
      </w:r>
      <w:r>
        <w:rPr>
          <w:rFonts w:ascii="Times New Roman" w:hAnsi="Times New Roman"/>
          <w:sz w:val="20"/>
        </w:rPr>
        <w:t xml:space="preserve">. Any Lien created hereunder or by any other Loan Document shall at any time fail to constitute a valid and perfected Lien on any of the Collateral purported to be secured thereby, subject to no prior or equal Lien, other than Permitted Liens; provided that such circumstance is not solely due to Collateral Agent’s failure to file an appropriate continuation UCC financing statement, amendment UCC financing statement or initial UCC financing statement. </w:t>
      </w:r>
    </w:p>
    <w:p>
      <w:pPr>
        <w:pStyle w:val="TextBody"/>
        <w:bidi w:val="0"/>
        <w:spacing w:before="240" w:after="0"/>
        <w:jc w:val="left"/>
        <w:rPr>
          <w:rFonts w:ascii="Times New Roman" w:hAnsi="Times New Roman"/>
          <w:sz w:val="20"/>
        </w:rPr>
      </w:pPr>
      <w:r>
        <w:rPr>
          <w:rFonts w:ascii="Times New Roman" w:hAnsi="Times New Roman"/>
          <w:b/>
          <w:sz w:val="20"/>
        </w:rPr>
        <w:t>8.13</w:t>
      </w:r>
      <w:r>
        <w:rPr>
          <w:rFonts w:ascii="Times New Roman" w:hAnsi="Times New Roman"/>
          <w:sz w:val="20"/>
        </w:rPr>
        <w:t xml:space="preserve"> </w:t>
      </w:r>
      <w:r>
        <w:rPr>
          <w:rFonts w:ascii="Times New Roman" w:hAnsi="Times New Roman"/>
          <w:b/>
          <w:sz w:val="20"/>
        </w:rPr>
        <w:t>Delisting</w:t>
      </w:r>
      <w:r>
        <w:rPr>
          <w:rFonts w:ascii="Times New Roman" w:hAnsi="Times New Roman"/>
          <w:sz w:val="20"/>
        </w:rPr>
        <w:t xml:space="preserve">. The shares of common stock of Borrower are delisted from The Nasdaq Stock Market LLC because of failure to comply with continued listing standards thereof or due to a voluntary delisting which results in such shares not being listed on any other nationally recognized stock exchange in the United States having listing standards at least as restrictive as The Nasdaq Stock Market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RIGHTS AND REMEDIES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9.1</w:t>
      </w:r>
      <w:r>
        <w:rPr>
          <w:rFonts w:ascii="Times New Roman" w:hAnsi="Times New Roman"/>
          <w:sz w:val="20"/>
        </w:rPr>
        <w:t xml:space="preserve"> </w:t>
      </w:r>
      <w:r>
        <w:rPr>
          <w:rFonts w:ascii="Times New Roman" w:hAnsi="Times New Roman"/>
          <w:b/>
          <w:sz w:val="20"/>
        </w:rPr>
        <w:t>Rights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 </w:t>
      </w:r>
    </w:p>
    <w:p>
      <w:pPr>
        <w:pStyle w:val="TextBody"/>
        <w:bidi w:val="0"/>
        <w:spacing w:before="240" w:after="0"/>
        <w:jc w:val="left"/>
        <w:rPr>
          <w:rFonts w:ascii="Times New Roman" w:hAnsi="Times New Roman"/>
          <w:sz w:val="20"/>
        </w:rPr>
      </w:pPr>
      <w:r>
        <w:rPr>
          <w:rFonts w:ascii="Times New Roman" w:hAnsi="Times New Roman"/>
          <w:sz w:val="20"/>
        </w:rPr>
        <w:t>(b) Without limiting the rights of Collateral Agent and the Lenders set forth in Section 9.1(a) above, upon the occurrence and during the continuance of an Event of Default, Collateral Agent shall have the right</w:t>
      </w:r>
      <w:r>
        <w:rPr>
          <w:rFonts w:ascii="Times New Roman" w:hAnsi="Times New Roman"/>
          <w:b/>
          <w:sz w:val="20"/>
        </w:rPr>
        <w:t xml:space="preserve">, </w:t>
      </w:r>
      <w:r>
        <w:rPr>
          <w:rFonts w:ascii="Times New Roman" w:hAnsi="Times New Roman"/>
          <w:sz w:val="20"/>
        </w:rPr>
        <w:t xml:space="preserve">without notice or demand, to do any or all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 foreclose upon and/or sell or otherwise liquidate, the Collateral;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apply to the Obligations any (a) balances and deposits of Borrower that Collateral Agent or any Lender holds or controls, or (b) any amount held or controlled by Collateral Agent or any Lender owing to or for the credit or the account of Borrower; and/or </w:t>
      </w:r>
    </w:p>
    <w:p>
      <w:pPr>
        <w:pStyle w:val="TextBody"/>
        <w:bidi w:val="0"/>
        <w:spacing w:before="240" w:after="0"/>
        <w:jc w:val="left"/>
        <w:rPr>
          <w:rFonts w:ascii="Times New Roman" w:hAnsi="Times New Roman"/>
          <w:sz w:val="20"/>
        </w:rPr>
      </w:pPr>
      <w:r>
        <w:rPr>
          <w:rFonts w:ascii="Times New Roman" w:hAnsi="Times New Roman"/>
          <w:sz w:val="20"/>
        </w:rPr>
        <w:t xml:space="preserve">(iii) commence and prosecute an Insolvency Proceeding or consent to Borrower commencing any Insolvency Proceeding.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rights of Collateral Agent and the Lenders set forth in Sections 9.1(a) and (b) above, upon the occurrence and during the continuance of an Event of Default, Collateral Agent shall have the right, without notice or demand, to do any or all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 settle or adjust disputes and claims directly with Account Debtors for amounts on terms and in any order that Collateral Agent considers advisable, notify any Person owing Borrower money of Collateral Agent’s security interest in such funds, and verify the amount of such account; </w:t>
      </w:r>
    </w:p>
    <w:p>
      <w:pPr>
        <w:pStyle w:val="TextBody"/>
        <w:bidi w:val="0"/>
        <w:spacing w:before="240" w:after="0"/>
        <w:jc w:val="left"/>
        <w:rPr>
          <w:rFonts w:ascii="Times New Roman" w:hAnsi="Times New Roman"/>
          <w:sz w:val="20"/>
        </w:rPr>
      </w:pPr>
      <w:r>
        <w:rPr>
          <w:rFonts w:ascii="Times New Roman" w:hAnsi="Times New Roman"/>
          <w:sz w:val="20"/>
        </w:rPr>
        <w:t xml:space="preserve">(ii) 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 </w:t>
      </w:r>
    </w:p>
    <w:p>
      <w:pPr>
        <w:pStyle w:val="TextBody"/>
        <w:bidi w:val="0"/>
        <w:spacing w:before="240" w:after="0"/>
        <w:jc w:val="left"/>
        <w:rPr>
          <w:rFonts w:ascii="Times New Roman" w:hAnsi="Times New Roman"/>
          <w:sz w:val="20"/>
        </w:rPr>
      </w:pPr>
      <w:r>
        <w:rPr>
          <w:rFonts w:ascii="Times New Roman" w:hAnsi="Times New Roman"/>
          <w:sz w:val="20"/>
        </w:rPr>
        <w:t xml:space="preserve">(iii) 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(iv) place a “hold” on any account maintained with Collateral Agent or the Lenders and/or deliver a notice of exclusive control, any entitlement order, or other directions or instructions pursuant to any Control Agreement or similar agreements providing control of any Collateral; </w:t>
      </w:r>
    </w:p>
    <w:p>
      <w:pPr>
        <w:pStyle w:val="TextBody"/>
        <w:bidi w:val="0"/>
        <w:spacing w:before="240" w:after="0"/>
        <w:jc w:val="left"/>
        <w:rPr>
          <w:rFonts w:ascii="Times New Roman" w:hAnsi="Times New Roman"/>
          <w:sz w:val="20"/>
        </w:rPr>
      </w:pPr>
      <w:r>
        <w:rPr>
          <w:rFonts w:ascii="Times New Roman" w:hAnsi="Times New Roman"/>
          <w:sz w:val="20"/>
        </w:rPr>
        <w:t xml:space="preserve">(v) demand and receive possession of Borrower’s Books; </w:t>
      </w:r>
    </w:p>
    <w:p>
      <w:pPr>
        <w:pStyle w:val="TextBody"/>
        <w:bidi w:val="0"/>
        <w:spacing w:before="240" w:after="0"/>
        <w:jc w:val="left"/>
        <w:rPr>
          <w:rFonts w:ascii="Times New Roman" w:hAnsi="Times New Roman"/>
          <w:sz w:val="20"/>
        </w:rPr>
      </w:pPr>
      <w:r>
        <w:rPr>
          <w:rFonts w:ascii="Times New Roman" w:hAnsi="Times New Roman"/>
          <w:sz w:val="20"/>
        </w:rPr>
        <w:t xml:space="preserve">(vi) 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 </w:t>
      </w:r>
    </w:p>
    <w:p>
      <w:pPr>
        <w:pStyle w:val="TextBody"/>
        <w:bidi w:val="0"/>
        <w:spacing w:before="240" w:after="0"/>
        <w:jc w:val="left"/>
        <w:rPr>
          <w:rFonts w:ascii="Times New Roman" w:hAnsi="Times New Roman"/>
          <w:sz w:val="20"/>
        </w:rPr>
      </w:pPr>
      <w:r>
        <w:rPr>
          <w:rFonts w:ascii="Times New Roman" w:hAnsi="Times New Roman"/>
          <w:sz w:val="20"/>
        </w:rPr>
        <w:t xml:space="preserve">(vii) subject to clauses 9.1(a) and (b), exercise all rights and remedies available to Collateral Agent and each Lender under the Loan Documents or at law or equity, including all remedies provided under the Code (including disposal of the Collateral pursuant to the terms thereof). </w:t>
      </w:r>
    </w:p>
    <w:p>
      <w:pPr>
        <w:pStyle w:val="TextBody"/>
        <w:bidi w:val="0"/>
        <w:spacing w:before="240" w:after="0"/>
        <w:jc w:val="left"/>
        <w:rPr>
          <w:rFonts w:ascii="Times New Roman" w:hAnsi="Times New Roman"/>
          <w:sz w:val="20"/>
        </w:rPr>
      </w:pPr>
      <w:r>
        <w:rPr>
          <w:rFonts w:ascii="Times New Roman" w:hAnsi="Times New Roman"/>
          <w:sz w:val="20"/>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Times New Roman" w:hAnsi="Times New Roman"/>
          <w:b/>
          <w:sz w:val="20"/>
        </w:rPr>
        <w:t>Exigent Circumstance</w:t>
      </w:r>
      <w:r>
        <w:rPr>
          <w:rFonts w:ascii="Times New Roman" w:hAnsi="Times New Roman"/>
          <w:sz w:val="20"/>
        </w:rPr>
        <w:t xml:space="preserve">”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9.2</w:t>
      </w:r>
      <w:r>
        <w:rPr>
          <w:rFonts w:ascii="Times New Roman" w:hAnsi="Times New Roman"/>
          <w:sz w:val="20"/>
        </w:rPr>
        <w:t xml:space="preserve"> </w:t>
      </w:r>
      <w:r>
        <w:rPr>
          <w:rFonts w:ascii="Times New Roman" w:hAnsi="Times New Roman"/>
          <w:b/>
          <w:sz w:val="20"/>
        </w:rPr>
        <w:t>Power of Attorney.</w:t>
      </w:r>
      <w:r>
        <w:rPr>
          <w:rFonts w:ascii="Times New Roman" w:hAnsi="Times New Roman"/>
          <w:sz w:val="20"/>
        </w:rPr>
        <w:t xml:space="preserve"> Borrower hereby irrevocably appoints Collateral Agent as its lawful attorney-in-fact, exercisable upon the occurrence 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Credit Extensions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Credit Extensions terminates. </w:t>
      </w:r>
    </w:p>
    <w:p>
      <w:pPr>
        <w:pStyle w:val="TextBody"/>
        <w:bidi w:val="0"/>
        <w:spacing w:before="240" w:after="0"/>
        <w:jc w:val="left"/>
        <w:rPr>
          <w:rFonts w:ascii="Times New Roman" w:hAnsi="Times New Roman"/>
          <w:sz w:val="20"/>
        </w:rPr>
      </w:pPr>
      <w:r>
        <w:rPr>
          <w:rFonts w:ascii="Times New Roman" w:hAnsi="Times New Roman"/>
          <w:b/>
          <w:sz w:val="20"/>
        </w:rPr>
        <w:t>9.3</w:t>
      </w:r>
      <w:r>
        <w:rPr>
          <w:rFonts w:ascii="Times New Roman" w:hAnsi="Times New Roman"/>
          <w:sz w:val="20"/>
        </w:rPr>
        <w:t xml:space="preserve"> </w:t>
      </w:r>
      <w:r>
        <w:rPr>
          <w:rFonts w:ascii="Times New Roman" w:hAnsi="Times New Roman"/>
          <w:b/>
          <w:sz w:val="20"/>
        </w:rPr>
        <w:t>Protective Payments.</w:t>
      </w:r>
      <w:r>
        <w:rPr>
          <w:rFonts w:ascii="Times New Roman" w:hAnsi="Times New Roman"/>
          <w:sz w:val="20"/>
        </w:rPr>
        <w:t xml:space="preserve"> If Borrower or any of its Subsidiaries fail to obtain the insurance called for by Section 6.5 or fails to pay any premium 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 </w:t>
      </w:r>
    </w:p>
    <w:p>
      <w:pPr>
        <w:pStyle w:val="TextBody"/>
        <w:bidi w:val="0"/>
        <w:spacing w:before="240" w:after="0"/>
        <w:jc w:val="left"/>
        <w:rPr>
          <w:rFonts w:ascii="Times New Roman" w:hAnsi="Times New Roman"/>
          <w:sz w:val="20"/>
        </w:rPr>
      </w:pPr>
      <w:r>
        <w:rPr>
          <w:rFonts w:ascii="Times New Roman" w:hAnsi="Times New Roman"/>
          <w:b/>
          <w:sz w:val="20"/>
        </w:rPr>
        <w:t>9.4</w:t>
      </w:r>
      <w:r>
        <w:rPr>
          <w:rFonts w:ascii="Times New Roman" w:hAnsi="Times New Roman"/>
          <w:sz w:val="20"/>
        </w:rPr>
        <w:t xml:space="preserve"> </w:t>
      </w:r>
      <w:r>
        <w:rPr>
          <w:rFonts w:ascii="Times New Roman" w:hAnsi="Times New Roman"/>
          <w:b/>
          <w:sz w:val="20"/>
        </w:rPr>
        <w:t>Application of Payments and Proceeds.</w:t>
      </w:r>
      <w:r>
        <w:rPr>
          <w:rFonts w:ascii="Times New Roman" w:hAnsi="Times New Roman"/>
          <w:sz w:val="20"/>
        </w:rPr>
        <w:t xml:space="preserve"> Notwithstanding anything to the contrary contained in this Agreement, upon the occurrence and 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 </w:t>
      </w:r>
    </w:p>
    <w:p>
      <w:pPr>
        <w:pStyle w:val="TextBody"/>
        <w:bidi w:val="0"/>
        <w:spacing w:before="240" w:after="0"/>
        <w:jc w:val="left"/>
        <w:rPr>
          <w:rFonts w:ascii="Times New Roman" w:hAnsi="Times New Roman"/>
          <w:sz w:val="20"/>
        </w:rPr>
      </w:pPr>
      <w:r>
        <w:rPr>
          <w:rFonts w:ascii="Times New Roman" w:hAnsi="Times New Roman"/>
          <w:b/>
          <w:sz w:val="20"/>
        </w:rPr>
        <w:t>9.5</w:t>
      </w:r>
      <w:r>
        <w:rPr>
          <w:rFonts w:ascii="Times New Roman" w:hAnsi="Times New Roman"/>
          <w:sz w:val="20"/>
        </w:rPr>
        <w:t xml:space="preserve"> </w:t>
      </w:r>
      <w:r>
        <w:rPr>
          <w:rFonts w:ascii="Times New Roman" w:hAnsi="Times New Roman"/>
          <w:b/>
          <w:sz w:val="20"/>
        </w:rPr>
        <w:t>Liability for Collateral.</w:t>
      </w:r>
      <w:r>
        <w:rPr>
          <w:rFonts w:ascii="Times New Roman" w:hAnsi="Times New Roman"/>
          <w:sz w:val="20"/>
        </w:rPr>
        <w:t xml:space="preserve"> So long as Collateral Agent and the Lenders comply with reasonable banking practices regarding the safekeeping 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 </w:t>
      </w:r>
    </w:p>
    <w:p>
      <w:pPr>
        <w:pStyle w:val="TextBody"/>
        <w:bidi w:val="0"/>
        <w:spacing w:before="240" w:after="0"/>
        <w:jc w:val="left"/>
        <w:rPr>
          <w:rFonts w:ascii="Times New Roman" w:hAnsi="Times New Roman"/>
          <w:sz w:val="20"/>
        </w:rPr>
      </w:pPr>
      <w:r>
        <w:rPr>
          <w:rFonts w:ascii="Times New Roman" w:hAnsi="Times New Roman"/>
          <w:b/>
          <w:sz w:val="20"/>
        </w:rPr>
        <w:t>9.6</w:t>
      </w:r>
      <w:r>
        <w:rPr>
          <w:rFonts w:ascii="Times New Roman" w:hAnsi="Times New Roman"/>
          <w:sz w:val="20"/>
        </w:rPr>
        <w:t xml:space="preserve"> </w:t>
      </w:r>
      <w:r>
        <w:rPr>
          <w:rFonts w:ascii="Times New Roman" w:hAnsi="Times New Roman"/>
          <w:b/>
          <w:sz w:val="20"/>
        </w:rPr>
        <w:t>No Waiver; Remedies Cumulative.</w:t>
      </w:r>
      <w:r>
        <w:rPr>
          <w:rFonts w:ascii="Times New Roman" w:hAnsi="Times New Roman"/>
          <w:sz w:val="20"/>
        </w:rPr>
        <w:t xml:space="preserve"> Failure by Collateral Agent or any Lender, at any time or times, to require strict performance by 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 </w:t>
      </w:r>
    </w:p>
    <w:p>
      <w:pPr>
        <w:pStyle w:val="TextBody"/>
        <w:bidi w:val="0"/>
        <w:spacing w:before="240" w:after="0"/>
        <w:jc w:val="left"/>
        <w:rPr>
          <w:rFonts w:ascii="Times New Roman" w:hAnsi="Times New Roman"/>
          <w:sz w:val="20"/>
        </w:rPr>
      </w:pPr>
      <w:r>
        <w:rPr>
          <w:rFonts w:ascii="Times New Roman" w:hAnsi="Times New Roman"/>
          <w:b/>
          <w:sz w:val="20"/>
        </w:rPr>
        <w:t>9.7</w:t>
      </w:r>
      <w:r>
        <w:rPr>
          <w:rFonts w:ascii="Times New Roman" w:hAnsi="Times New Roman"/>
          <w:sz w:val="20"/>
        </w:rPr>
        <w:t xml:space="preserve"> </w:t>
      </w:r>
      <w:r>
        <w:rPr>
          <w:rFonts w:ascii="Times New Roman" w:hAnsi="Times New Roman"/>
          <w:b/>
          <w:sz w:val="20"/>
        </w:rPr>
        <w:t>Demand Waiver.</w:t>
      </w:r>
      <w:r>
        <w:rPr>
          <w:rFonts w:ascii="Times New Roman" w:hAnsi="Times New Roman"/>
          <w:sz w:val="20"/>
        </w:rPr>
        <w:t xml:space="preserve"> Borrower waives, to the fullest extent permitted by law, demand, notice of default or dishonor, notice of payment and nonpayment, notice of any default, nonpayment at maturity, release, compromise, settlement, extension, or renewal of accounts, documents, instruments, chattel paper, and guarantees held by Collateral Agent or any Lender on which Borrower or any Subsidiary is liable.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NOTICES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All notices, consents, requests, approvals, demands, or other communication (collectively, “</w:t>
      </w:r>
      <w:r>
        <w:rPr>
          <w:rFonts w:ascii="Times New Roman" w:hAnsi="Times New Roman"/>
          <w:b/>
          <w:sz w:val="20"/>
        </w:rPr>
        <w:t>Communication</w:t>
      </w:r>
      <w:r>
        <w:rPr>
          <w:rFonts w:ascii="Times New Roman" w:hAnsi="Times New Roman"/>
          <w:sz w:val="20"/>
        </w:rPr>
        <w:t xml:space="preserve">”)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or electronic mail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facsimile number, or email address by giving the other party written notice thereof in accordance with the terms of this Section 10. </w:t>
      </w:r>
    </w:p>
    <w:p>
      <w:pPr>
        <w:pStyle w:val="TextBody"/>
        <w:bidi w:val="0"/>
        <w:spacing w:before="0" w:after="0"/>
        <w:jc w:val="left"/>
        <w:rPr/>
      </w:pPr>
      <w:r>
        <w:rPr/>
        <w:t> </w:t>
      </w:r>
    </w:p>
    <w:tbl>
      <w:tblPr>
        <w:tblW w:w="4000" w:type="pct"/>
        <w:jc w:val="right"/>
        <w:tblInd w:w="0" w:type="dxa"/>
        <w:tblLayout w:type="fixed"/>
        <w:tblCellMar>
          <w:top w:w="0" w:type="dxa"/>
          <w:left w:w="0" w:type="dxa"/>
          <w:bottom w:w="0" w:type="dxa"/>
          <w:right w:w="0" w:type="dxa"/>
        </w:tblCellMar>
      </w:tblPr>
      <w:tblGrid>
        <w:gridCol w:w="2427"/>
        <w:gridCol w:w="122"/>
        <w:gridCol w:w="5615"/>
      </w:tblGrid>
      <w:tr>
        <w:trPr/>
        <w:tc>
          <w:tcPr>
            <w:tcW w:w="242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615" w:type="dxa"/>
            <w:tcBorders/>
            <w:vAlign w:val="center"/>
          </w:tcPr>
          <w:p>
            <w:pPr>
              <w:pStyle w:val="TableContents"/>
              <w:bidi w:val="0"/>
              <w:spacing w:before="0" w:after="283"/>
              <w:jc w:val="left"/>
              <w:rPr>
                <w:sz w:val="4"/>
                <w:szCs w:val="4"/>
              </w:rPr>
            </w:pPr>
            <w:r>
              <w:rPr>
                <w:sz w:val="4"/>
                <w:szCs w:val="4"/>
              </w:rPr>
            </w:r>
          </w:p>
        </w:tc>
      </w:tr>
      <w:tr>
        <w:trPr/>
        <w:tc>
          <w:tcPr>
            <w:tcW w:w="2427" w:type="dxa"/>
            <w:tcBorders/>
          </w:tcPr>
          <w:p>
            <w:pPr>
              <w:pStyle w:val="TableContents"/>
              <w:bidi w:val="0"/>
              <w:spacing w:before="0" w:after="283"/>
              <w:jc w:val="left"/>
              <w:rPr/>
            </w:pPr>
            <w:r>
              <w:rPr/>
              <w:t>If to Borrower:</w:t>
            </w:r>
          </w:p>
        </w:tc>
        <w:tc>
          <w:tcPr>
            <w:tcW w:w="122" w:type="dxa"/>
            <w:tcBorders/>
            <w:vAlign w:val="bottom"/>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ANNEXON, INC.</w:t>
            </w:r>
          </w:p>
          <w:p>
            <w:pPr>
              <w:pStyle w:val="TableContents"/>
              <w:bidi w:val="0"/>
              <w:spacing w:before="0" w:after="0"/>
              <w:jc w:val="left"/>
              <w:rPr>
                <w:rFonts w:ascii="Times New Roman" w:hAnsi="Times New Roman"/>
                <w:sz w:val="20"/>
              </w:rPr>
            </w:pPr>
            <w:r>
              <w:rPr>
                <w:rFonts w:ascii="Times New Roman" w:hAnsi="Times New Roman"/>
                <w:sz w:val="20"/>
              </w:rPr>
              <w:t>1400 Sierra Point Parkway</w:t>
            </w:r>
          </w:p>
          <w:p>
            <w:pPr>
              <w:pStyle w:val="TableContents"/>
              <w:bidi w:val="0"/>
              <w:spacing w:before="0" w:after="0"/>
              <w:jc w:val="left"/>
              <w:rPr>
                <w:rFonts w:ascii="Times New Roman" w:hAnsi="Times New Roman"/>
                <w:sz w:val="20"/>
              </w:rPr>
            </w:pPr>
            <w:r>
              <w:rPr>
                <w:rFonts w:ascii="Times New Roman" w:hAnsi="Times New Roman"/>
                <w:sz w:val="20"/>
              </w:rPr>
              <w:t>Building C, 2nd Floor</w:t>
            </w:r>
          </w:p>
          <w:p>
            <w:pPr>
              <w:pStyle w:val="TableContents"/>
              <w:bidi w:val="0"/>
              <w:spacing w:before="0" w:after="0"/>
              <w:jc w:val="left"/>
              <w:rPr>
                <w:rFonts w:ascii="Times New Roman" w:hAnsi="Times New Roman"/>
                <w:sz w:val="20"/>
              </w:rPr>
            </w:pPr>
            <w:r>
              <w:rPr>
                <w:rFonts w:ascii="Times New Roman" w:hAnsi="Times New Roman"/>
                <w:sz w:val="20"/>
              </w:rPr>
              <w:t>Brisbane, CA 94005</w:t>
            </w:r>
          </w:p>
          <w:p>
            <w:pPr>
              <w:pStyle w:val="TableContents"/>
              <w:bidi w:val="0"/>
              <w:spacing w:before="0" w:after="0"/>
              <w:jc w:val="left"/>
              <w:rPr>
                <w:rFonts w:ascii="Times New Roman" w:hAnsi="Times New Roman"/>
                <w:sz w:val="20"/>
              </w:rPr>
            </w:pPr>
            <w:r>
              <w:rPr>
                <w:rFonts w:ascii="Times New Roman" w:hAnsi="Times New Roman"/>
                <w:sz w:val="20"/>
              </w:rPr>
              <w:t>Attn: [**]</w:t>
            </w:r>
          </w:p>
          <w:p>
            <w:pPr>
              <w:pStyle w:val="TableContents"/>
              <w:bidi w:val="0"/>
              <w:spacing w:before="0" w:after="20"/>
              <w:jc w:val="left"/>
              <w:rPr>
                <w:rFonts w:ascii="Times New Roman" w:hAnsi="Times New Roman"/>
                <w:sz w:val="20"/>
              </w:rPr>
            </w:pPr>
            <w:r>
              <w:rPr>
                <w:rFonts w:ascii="Times New Roman" w:hAnsi="Times New Roman"/>
                <w:sz w:val="20"/>
              </w:rPr>
              <w:t>Email: [**]</w:t>
            </w:r>
          </w:p>
        </w:tc>
      </w:tr>
      <w:tr>
        <w:trPr>
          <w:trHeight w:val="120" w:hRule="atLeast"/>
        </w:trPr>
        <w:tc>
          <w:tcPr>
            <w:tcW w:w="2427" w:type="dxa"/>
            <w:tcBorders/>
            <w:vAlign w:val="center"/>
          </w:tcPr>
          <w:p>
            <w:pPr>
              <w:pStyle w:val="TableContents"/>
              <w:bidi w:val="0"/>
              <w:spacing w:before="0" w:after="283"/>
              <w:jc w:val="left"/>
              <w:rPr>
                <w:sz w:val="4"/>
                <w:szCs w:val="4"/>
              </w:rPr>
            </w:pPr>
            <w:r>
              <w:rPr>
                <w:sz w:val="4"/>
                <w:szCs w:val="4"/>
              </w:rPr>
            </w:r>
          </w:p>
        </w:tc>
        <w:tc>
          <w:tcPr>
            <w:tcW w:w="5737" w:type="dxa"/>
            <w:gridSpan w:val="2"/>
            <w:tcBorders/>
            <w:vAlign w:val="center"/>
          </w:tcPr>
          <w:p>
            <w:pPr>
              <w:pStyle w:val="TableContents"/>
              <w:bidi w:val="0"/>
              <w:spacing w:before="0" w:after="283"/>
              <w:jc w:val="left"/>
              <w:rPr>
                <w:sz w:val="4"/>
                <w:szCs w:val="4"/>
              </w:rPr>
            </w:pPr>
            <w:r>
              <w:rPr>
                <w:sz w:val="4"/>
                <w:szCs w:val="4"/>
              </w:rPr>
            </w:r>
          </w:p>
        </w:tc>
      </w:tr>
      <w:tr>
        <w:trPr/>
        <w:tc>
          <w:tcPr>
            <w:tcW w:w="2427" w:type="dxa"/>
            <w:tcBorders/>
          </w:tcPr>
          <w:p>
            <w:pPr>
              <w:pStyle w:val="TableContents"/>
              <w:bidi w:val="0"/>
              <w:spacing w:before="0" w:after="283"/>
              <w:jc w:val="left"/>
              <w:rPr/>
            </w:pPr>
            <w:r>
              <w:rPr/>
              <w:t>with a copy (which shall not constitute notice) to:</w:t>
            </w:r>
          </w:p>
        </w:tc>
        <w:tc>
          <w:tcPr>
            <w:tcW w:w="122" w:type="dxa"/>
            <w:tcBorders/>
            <w:vAlign w:val="bottom"/>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Cooley LLP</w:t>
            </w:r>
          </w:p>
          <w:p>
            <w:pPr>
              <w:pStyle w:val="TableContents"/>
              <w:bidi w:val="0"/>
              <w:spacing w:before="0" w:after="0"/>
              <w:jc w:val="left"/>
              <w:rPr>
                <w:rFonts w:ascii="Times New Roman" w:hAnsi="Times New Roman"/>
                <w:sz w:val="20"/>
              </w:rPr>
            </w:pPr>
            <w:r>
              <w:rPr>
                <w:rFonts w:ascii="Times New Roman" w:hAnsi="Times New Roman"/>
                <w:sz w:val="20"/>
              </w:rPr>
              <w:t>3 Embarcadero Center</w:t>
            </w:r>
          </w:p>
          <w:p>
            <w:pPr>
              <w:pStyle w:val="TableContents"/>
              <w:bidi w:val="0"/>
              <w:spacing w:before="0" w:after="0"/>
              <w:jc w:val="left"/>
              <w:rPr>
                <w:rFonts w:ascii="Times New Roman" w:hAnsi="Times New Roman"/>
                <w:sz w:val="20"/>
              </w:rPr>
            </w:pPr>
            <w:r>
              <w:rPr>
                <w:rFonts w:ascii="Times New Roman" w:hAnsi="Times New Roman"/>
                <w:sz w:val="20"/>
              </w:rPr>
              <w:t>20th Floor</w:t>
            </w:r>
          </w:p>
          <w:p>
            <w:pPr>
              <w:pStyle w:val="TableContents"/>
              <w:bidi w:val="0"/>
              <w:spacing w:before="0" w:after="0"/>
              <w:jc w:val="left"/>
              <w:rPr>
                <w:rFonts w:ascii="Times New Roman" w:hAnsi="Times New Roman"/>
                <w:sz w:val="20"/>
              </w:rPr>
            </w:pPr>
            <w:r>
              <w:rPr>
                <w:rFonts w:ascii="Times New Roman" w:hAnsi="Times New Roman"/>
                <w:sz w:val="20"/>
              </w:rPr>
              <w:t>San Francisco, CA 94111-4004</w:t>
            </w:r>
          </w:p>
          <w:p>
            <w:pPr>
              <w:pStyle w:val="TableContents"/>
              <w:bidi w:val="0"/>
              <w:spacing w:before="0" w:after="0"/>
              <w:jc w:val="left"/>
              <w:rPr>
                <w:rFonts w:ascii="Times New Roman" w:hAnsi="Times New Roman"/>
                <w:sz w:val="20"/>
              </w:rPr>
            </w:pPr>
            <w:r>
              <w:rPr>
                <w:rFonts w:ascii="Times New Roman" w:hAnsi="Times New Roman"/>
                <w:sz w:val="20"/>
              </w:rPr>
              <w:t>Attn: [**]</w:t>
            </w:r>
          </w:p>
          <w:p>
            <w:pPr>
              <w:pStyle w:val="TableContents"/>
              <w:bidi w:val="0"/>
              <w:spacing w:before="0" w:after="0"/>
              <w:jc w:val="left"/>
              <w:rPr>
                <w:rFonts w:ascii="Times New Roman" w:hAnsi="Times New Roman"/>
                <w:sz w:val="20"/>
              </w:rPr>
            </w:pPr>
            <w:r>
              <w:rPr>
                <w:rFonts w:ascii="Times New Roman" w:hAnsi="Times New Roman"/>
                <w:sz w:val="20"/>
              </w:rPr>
              <w:t>Fax:</w:t>
            </w:r>
          </w:p>
          <w:p>
            <w:pPr>
              <w:pStyle w:val="TableContents"/>
              <w:bidi w:val="0"/>
              <w:spacing w:before="0" w:after="20"/>
              <w:jc w:val="left"/>
              <w:rPr>
                <w:rFonts w:ascii="Times New Roman" w:hAnsi="Times New Roman"/>
                <w:sz w:val="20"/>
              </w:rPr>
            </w:pPr>
            <w:r>
              <w:rPr>
                <w:rFonts w:ascii="Times New Roman" w:hAnsi="Times New Roman"/>
                <w:sz w:val="20"/>
              </w:rPr>
              <w:t>Email: [**]</w:t>
            </w:r>
          </w:p>
        </w:tc>
      </w:tr>
    </w:tbl>
    <w:p>
      <w:pPr>
        <w:pStyle w:val="HorizontalLine"/>
        <w:pBdr>
          <w:bottom w:val="double" w:sz="6" w:space="0" w:color="808080"/>
        </w:pBdr>
        <w:bidi w:val="0"/>
        <w:jc w:val="left"/>
        <w:rPr/>
      </w:pPr>
      <w:r>
        <w:br w:type="page"/>
      </w:r>
      <w:r>
        <w:rPr/>
      </w:r>
    </w:p>
    <w:tbl>
      <w:tblPr>
        <w:tblW w:w="4000" w:type="pct"/>
        <w:jc w:val="right"/>
        <w:tblInd w:w="0" w:type="dxa"/>
        <w:tblLayout w:type="fixed"/>
        <w:tblCellMar>
          <w:top w:w="0" w:type="dxa"/>
          <w:left w:w="0" w:type="dxa"/>
          <w:bottom w:w="0" w:type="dxa"/>
          <w:right w:w="0" w:type="dxa"/>
        </w:tblCellMar>
      </w:tblPr>
      <w:tblGrid>
        <w:gridCol w:w="2427"/>
        <w:gridCol w:w="122"/>
        <w:gridCol w:w="5615"/>
      </w:tblGrid>
      <w:tr>
        <w:trPr/>
        <w:tc>
          <w:tcPr>
            <w:tcW w:w="242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615" w:type="dxa"/>
            <w:tcBorders/>
            <w:vAlign w:val="center"/>
          </w:tcPr>
          <w:p>
            <w:pPr>
              <w:pStyle w:val="TableContents"/>
              <w:bidi w:val="0"/>
              <w:spacing w:before="0" w:after="283"/>
              <w:jc w:val="left"/>
              <w:rPr>
                <w:sz w:val="4"/>
                <w:szCs w:val="4"/>
              </w:rPr>
            </w:pPr>
            <w:r>
              <w:rPr>
                <w:sz w:val="4"/>
                <w:szCs w:val="4"/>
              </w:rPr>
            </w:r>
          </w:p>
        </w:tc>
      </w:tr>
      <w:tr>
        <w:trPr/>
        <w:tc>
          <w:tcPr>
            <w:tcW w:w="2427" w:type="dxa"/>
            <w:tcBorders/>
          </w:tcPr>
          <w:p>
            <w:pPr>
              <w:pStyle w:val="TableContents"/>
              <w:bidi w:val="0"/>
              <w:spacing w:before="0" w:after="283"/>
              <w:jc w:val="left"/>
              <w:rPr/>
            </w:pPr>
            <w:r>
              <w:rPr/>
              <w:t>If to Collateral Agent:</w:t>
            </w:r>
          </w:p>
        </w:tc>
        <w:tc>
          <w:tcPr>
            <w:tcW w:w="122" w:type="dxa"/>
            <w:tcBorders/>
            <w:vAlign w:val="bottom"/>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OXFORD FINANCE LLC</w:t>
            </w:r>
          </w:p>
          <w:p>
            <w:pPr>
              <w:pStyle w:val="TableContents"/>
              <w:bidi w:val="0"/>
              <w:spacing w:before="0" w:after="0"/>
              <w:jc w:val="left"/>
              <w:rPr>
                <w:rFonts w:ascii="Times New Roman" w:hAnsi="Times New Roman"/>
                <w:sz w:val="20"/>
              </w:rPr>
            </w:pPr>
            <w:r>
              <w:rPr>
                <w:rFonts w:ascii="Times New Roman" w:hAnsi="Times New Roman"/>
                <w:sz w:val="20"/>
              </w:rPr>
              <w:t>115 South Union Street</w:t>
            </w:r>
          </w:p>
          <w:p>
            <w:pPr>
              <w:pStyle w:val="TableContents"/>
              <w:bidi w:val="0"/>
              <w:spacing w:before="0" w:after="0"/>
              <w:jc w:val="left"/>
              <w:rPr>
                <w:rFonts w:ascii="Times New Roman" w:hAnsi="Times New Roman"/>
                <w:sz w:val="20"/>
              </w:rPr>
            </w:pPr>
            <w:r>
              <w:rPr>
                <w:rFonts w:ascii="Times New Roman" w:hAnsi="Times New Roman"/>
                <w:sz w:val="20"/>
              </w:rPr>
              <w:t>Suite 300</w:t>
            </w:r>
          </w:p>
          <w:p>
            <w:pPr>
              <w:pStyle w:val="TableContents"/>
              <w:bidi w:val="0"/>
              <w:spacing w:before="0" w:after="0"/>
              <w:jc w:val="left"/>
              <w:rPr>
                <w:rFonts w:ascii="Times New Roman" w:hAnsi="Times New Roman"/>
                <w:sz w:val="20"/>
              </w:rPr>
            </w:pPr>
            <w:r>
              <w:rPr>
                <w:rFonts w:ascii="Times New Roman" w:hAnsi="Times New Roman"/>
                <w:sz w:val="20"/>
              </w:rPr>
              <w:t>Alexandria, VA 22314</w:t>
            </w:r>
          </w:p>
          <w:p>
            <w:pPr>
              <w:pStyle w:val="TableContents"/>
              <w:bidi w:val="0"/>
              <w:spacing w:before="0" w:after="0"/>
              <w:jc w:val="left"/>
              <w:rPr>
                <w:rFonts w:ascii="Times New Roman" w:hAnsi="Times New Roman"/>
                <w:sz w:val="20"/>
              </w:rPr>
            </w:pPr>
            <w:r>
              <w:rPr>
                <w:rFonts w:ascii="Times New Roman" w:hAnsi="Times New Roman"/>
                <w:sz w:val="20"/>
              </w:rPr>
              <w:t>Attention: [**]</w:t>
            </w:r>
          </w:p>
          <w:p>
            <w:pPr>
              <w:pStyle w:val="TableContents"/>
              <w:bidi w:val="0"/>
              <w:spacing w:before="0" w:after="0"/>
              <w:jc w:val="left"/>
              <w:rPr>
                <w:rFonts w:ascii="Times New Roman" w:hAnsi="Times New Roman"/>
                <w:sz w:val="20"/>
              </w:rPr>
            </w:pPr>
            <w:r>
              <w:rPr>
                <w:rFonts w:ascii="Times New Roman" w:hAnsi="Times New Roman"/>
                <w:sz w:val="20"/>
              </w:rPr>
              <w:t>Fax: [**]</w:t>
            </w:r>
          </w:p>
          <w:p>
            <w:pPr>
              <w:pStyle w:val="TableContents"/>
              <w:bidi w:val="0"/>
              <w:spacing w:before="0" w:after="20"/>
              <w:jc w:val="left"/>
              <w:rPr>
                <w:rFonts w:ascii="Times New Roman" w:hAnsi="Times New Roman"/>
                <w:sz w:val="20"/>
              </w:rPr>
            </w:pPr>
            <w:r>
              <w:rPr>
                <w:rFonts w:ascii="Times New Roman" w:hAnsi="Times New Roman"/>
                <w:sz w:val="20"/>
              </w:rPr>
              <w:t>Email: [**]</w:t>
            </w:r>
          </w:p>
        </w:tc>
      </w:tr>
      <w:tr>
        <w:trPr>
          <w:trHeight w:val="120" w:hRule="atLeast"/>
        </w:trPr>
        <w:tc>
          <w:tcPr>
            <w:tcW w:w="2427" w:type="dxa"/>
            <w:tcBorders/>
            <w:vAlign w:val="center"/>
          </w:tcPr>
          <w:p>
            <w:pPr>
              <w:pStyle w:val="TableContents"/>
              <w:bidi w:val="0"/>
              <w:spacing w:before="0" w:after="283"/>
              <w:jc w:val="left"/>
              <w:rPr>
                <w:sz w:val="4"/>
                <w:szCs w:val="4"/>
              </w:rPr>
            </w:pPr>
            <w:r>
              <w:rPr>
                <w:sz w:val="4"/>
                <w:szCs w:val="4"/>
              </w:rPr>
            </w:r>
          </w:p>
        </w:tc>
        <w:tc>
          <w:tcPr>
            <w:tcW w:w="5737" w:type="dxa"/>
            <w:gridSpan w:val="2"/>
            <w:tcBorders/>
            <w:vAlign w:val="center"/>
          </w:tcPr>
          <w:p>
            <w:pPr>
              <w:pStyle w:val="TableContents"/>
              <w:bidi w:val="0"/>
              <w:spacing w:before="0" w:after="283"/>
              <w:jc w:val="left"/>
              <w:rPr>
                <w:sz w:val="4"/>
                <w:szCs w:val="4"/>
              </w:rPr>
            </w:pPr>
            <w:r>
              <w:rPr>
                <w:sz w:val="4"/>
                <w:szCs w:val="4"/>
              </w:rPr>
            </w:r>
          </w:p>
        </w:tc>
      </w:tr>
      <w:tr>
        <w:trPr/>
        <w:tc>
          <w:tcPr>
            <w:tcW w:w="2427" w:type="dxa"/>
            <w:tcBorders/>
          </w:tcPr>
          <w:p>
            <w:pPr>
              <w:pStyle w:val="TableContents"/>
              <w:bidi w:val="0"/>
              <w:spacing w:before="0" w:after="283"/>
              <w:jc w:val="left"/>
              <w:rPr/>
            </w:pPr>
            <w:r>
              <w:rPr/>
              <w:t>with a copy (which shall not constitute notice) to:</w:t>
            </w:r>
          </w:p>
        </w:tc>
        <w:tc>
          <w:tcPr>
            <w:tcW w:w="122" w:type="dxa"/>
            <w:tcBorders/>
            <w:vAlign w:val="bottom"/>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Greenberg Traurig, LLP</w:t>
            </w:r>
          </w:p>
          <w:p>
            <w:pPr>
              <w:pStyle w:val="TableContents"/>
              <w:bidi w:val="0"/>
              <w:spacing w:before="0" w:after="0"/>
              <w:jc w:val="left"/>
              <w:rPr>
                <w:rFonts w:ascii="Times New Roman" w:hAnsi="Times New Roman"/>
                <w:sz w:val="20"/>
              </w:rPr>
            </w:pPr>
            <w:r>
              <w:rPr>
                <w:rFonts w:ascii="Times New Roman" w:hAnsi="Times New Roman"/>
                <w:sz w:val="20"/>
              </w:rPr>
              <w:t>One International Place</w:t>
            </w:r>
          </w:p>
          <w:p>
            <w:pPr>
              <w:pStyle w:val="TableContents"/>
              <w:bidi w:val="0"/>
              <w:spacing w:before="0" w:after="0"/>
              <w:jc w:val="left"/>
              <w:rPr>
                <w:rFonts w:ascii="Times New Roman" w:hAnsi="Times New Roman"/>
                <w:sz w:val="20"/>
              </w:rPr>
            </w:pPr>
            <w:r>
              <w:rPr>
                <w:rFonts w:ascii="Times New Roman" w:hAnsi="Times New Roman"/>
                <w:sz w:val="20"/>
              </w:rPr>
              <w:t>Boston, MA 02110</w:t>
            </w:r>
          </w:p>
          <w:p>
            <w:pPr>
              <w:pStyle w:val="TableContents"/>
              <w:bidi w:val="0"/>
              <w:spacing w:before="0" w:after="0"/>
              <w:jc w:val="left"/>
              <w:rPr>
                <w:rFonts w:ascii="Times New Roman" w:hAnsi="Times New Roman"/>
                <w:sz w:val="20"/>
              </w:rPr>
            </w:pPr>
            <w:r>
              <w:rPr>
                <w:rFonts w:ascii="Times New Roman" w:hAnsi="Times New Roman"/>
                <w:sz w:val="20"/>
              </w:rPr>
              <w:t>Attention: [**]</w:t>
            </w:r>
          </w:p>
          <w:p>
            <w:pPr>
              <w:pStyle w:val="TableContents"/>
              <w:bidi w:val="0"/>
              <w:spacing w:before="0" w:after="0"/>
              <w:jc w:val="left"/>
              <w:rPr>
                <w:rFonts w:ascii="Times New Roman" w:hAnsi="Times New Roman"/>
                <w:sz w:val="20"/>
              </w:rPr>
            </w:pPr>
            <w:r>
              <w:rPr>
                <w:rFonts w:ascii="Times New Roman" w:hAnsi="Times New Roman"/>
                <w:sz w:val="20"/>
              </w:rPr>
              <w:t>Fax: [**]</w:t>
            </w:r>
          </w:p>
          <w:p>
            <w:pPr>
              <w:pStyle w:val="TableContents"/>
              <w:bidi w:val="0"/>
              <w:spacing w:before="0" w:after="20"/>
              <w:jc w:val="left"/>
              <w:rPr>
                <w:rFonts w:ascii="Times New Roman" w:hAnsi="Times New Roman"/>
                <w:sz w:val="20"/>
              </w:rPr>
            </w:pPr>
            <w:r>
              <w:rPr>
                <w:rFonts w:ascii="Times New Roman" w:hAnsi="Times New Roman"/>
                <w:sz w:val="20"/>
              </w:rPr>
              <w:t>Email: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CHOICE OF LAW, VENUE AND JURY TRIAL WAIVER, AND JUDICIAL REFERENCE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California law governs the Loan Documents without regard to principles of conflicts of law. Borrower, Collateral Agent and each Lender each submit to the exclusive jurisdiction of the State and Federal courts in Santa 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 </w:t>
      </w:r>
    </w:p>
    <w:p>
      <w:pPr>
        <w:pStyle w:val="TextBody"/>
        <w:bidi w:val="0"/>
        <w:spacing w:before="240" w:after="0"/>
        <w:jc w:val="left"/>
        <w:rPr>
          <w:rFonts w:ascii="Times New Roman" w:hAnsi="Times New Roman"/>
          <w:b/>
          <w:sz w:val="20"/>
        </w:rPr>
      </w:pPr>
      <w:r>
        <w:rPr>
          <w:rFonts w:ascii="Times New Roman" w:hAnsi="Times New Roman"/>
          <w:b/>
          <w:sz w:val="20"/>
        </w:rPr>
        <w:t xml:space="preserve">TO THE FULLEST EXTENT PERMITTED BY APPLICABLE LAW, BORROWER, COLLATERAL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 </w:t>
      </w:r>
    </w:p>
    <w:p>
      <w:pPr>
        <w:pStyle w:val="TextBody"/>
        <w:bidi w:val="0"/>
        <w:spacing w:before="240" w:after="0"/>
        <w:jc w:val="left"/>
        <w:rPr>
          <w:rFonts w:ascii="Times New Roman" w:hAnsi="Times New Roman"/>
          <w:sz w:val="20"/>
        </w:rPr>
      </w:pPr>
      <w:r>
        <w:rPr>
          <w:rFonts w:ascii="Times New Roman" w:hAnsi="Times New Roman"/>
          <w:sz w:val="20"/>
        </w:rPr>
        <w:t xml:space="preserve">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GENERAL PROVISIONS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w:t>
      </w:r>
      <w:r>
        <w:rPr>
          <w:rFonts w:ascii="Times New Roman" w:hAnsi="Times New Roman"/>
          <w:b/>
          <w:sz w:val="20"/>
        </w:rPr>
        <w:t>Successors and Assigns.</w:t>
      </w:r>
      <w:r>
        <w:rPr>
          <w:rFonts w:ascii="Times New Roman" w:hAnsi="Times New Roman"/>
          <w:sz w:val="20"/>
        </w:rPr>
        <w:t xml:space="preserve"> This Agreement binds and is for the benefit of the successors and permitted assigns of each party. Borrower may not 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w:t>
      </w:r>
      <w:r>
        <w:rPr>
          <w:rFonts w:ascii="Times New Roman" w:hAnsi="Times New Roman"/>
          <w:b/>
          <w:sz w:val="20"/>
        </w:rPr>
        <w:t xml:space="preserve">(any </w:t>
      </w:r>
      <w:r>
        <w:rPr>
          <w:rFonts w:ascii="Times New Roman" w:hAnsi="Times New Roman"/>
          <w:sz w:val="20"/>
        </w:rPr>
        <w:t>such sale, transfer, assignment, negotiation</w:t>
      </w:r>
      <w:r>
        <w:rPr>
          <w:rFonts w:ascii="Times New Roman" w:hAnsi="Times New Roman"/>
          <w:b/>
          <w:sz w:val="20"/>
        </w:rPr>
        <w:t>,</w:t>
      </w:r>
      <w:r>
        <w:rPr>
          <w:rFonts w:ascii="Times New Roman" w:hAnsi="Times New Roman"/>
          <w:sz w:val="20"/>
        </w:rPr>
        <w:t xml:space="preserve"> or grant of a participation, a “</w:t>
      </w:r>
      <w:r>
        <w:rPr>
          <w:rFonts w:ascii="Times New Roman" w:hAnsi="Times New Roman"/>
          <w:b/>
          <w:sz w:val="20"/>
        </w:rPr>
        <w:t>Lender Transfer</w:t>
      </w:r>
      <w:r>
        <w:rPr>
          <w:rFonts w:ascii="Times New Roman" w:hAnsi="Times New Roman"/>
          <w:sz w:val="20"/>
        </w:rPr>
        <w:t>”</w:t>
      </w:r>
      <w:r>
        <w:rPr>
          <w:rFonts w:ascii="Times New Roman" w:hAnsi="Times New Roman"/>
          <w:b/>
          <w:sz w:val="20"/>
        </w:rPr>
        <w:t>)</w:t>
      </w:r>
      <w:r>
        <w:rPr>
          <w:rFonts w:ascii="Times New Roman" w:hAnsi="Times New Roman"/>
          <w:sz w:val="20"/>
        </w:rPr>
        <w:t xml:space="preserve"> all or any part of, or any interest in, the Lenders’ obligations, rights, and benefits under this Agreement and the other Loan Documents;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Times New Roman" w:hAnsi="Times New Roman"/>
          <w:b/>
          <w:sz w:val="20"/>
        </w:rPr>
        <w:t>Approved Lender</w:t>
      </w:r>
      <w:r>
        <w:rPr>
          <w:rFonts w:ascii="Times New Roman" w:hAnsi="Times New Roman"/>
          <w:sz w:val="20"/>
        </w:rPr>
        <w:t>”)</w:t>
      </w:r>
      <w:r>
        <w:rPr>
          <w:rFonts w:ascii="Times New Roman" w:hAnsi="Times New Roman"/>
          <w:b/>
          <w:sz w:val="20"/>
        </w:rPr>
        <w:t>.</w:t>
      </w:r>
      <w:r>
        <w:rPr>
          <w:rFonts w:ascii="Times New Roman" w:hAnsi="Times New Roman"/>
          <w:sz w:val="20"/>
        </w:rPr>
        <w:t xml:space="preserve"> Borrower and Collateral Agent shall be entitled to continue to deal solely and directly with such Lender in connection with the interests so assigned until Collateral Agent shall have received and accepted an effective assignment agreement in attached hereto as </w:t>
      </w:r>
      <w:r>
        <w:rPr>
          <w:rFonts w:ascii="Times New Roman" w:hAnsi="Times New Roman"/>
          <w:sz w:val="20"/>
          <w:u w:val="single"/>
        </w:rPr>
        <w:t>Exhibit E</w:t>
      </w:r>
      <w:r>
        <w:rPr>
          <w:rFonts w:ascii="Times New Roman" w:hAnsi="Times New Roman"/>
          <w:sz w:val="20"/>
        </w:rPr>
        <w: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 Collateral Agent, acting as a non-fiduciary agent of Borrower (solely for tax purposes), shall maintain at one of its U.S. offices (a) a copy (or electronic equivalent) of the documentation for each Lender Transfer delivered to it, and (b) a register for recordation of the names, addresses, Term Loan Commitments of and Obligations owing to, each Lender. Entries in the register shall be conclusive, absent manifest error, and Borrower, Collateral Agent and Lenders shall treat each Person recorded in such register as a Lender for all purposes under the Loan Documents, notwithstanding any notice to the contrary. The register shall be available for inspection by Borrower or any Lender, from time to time upon reasonable notice. Each Lender that sells a participation shall, acting as a non-fiduciary agent of Borrower (solely for tax purposes), maintain a register in which it enters the participant’s name, address and interest in Term Loan Commitments and Obligations (the “</w:t>
      </w:r>
      <w:r>
        <w:rPr>
          <w:rFonts w:ascii="Times New Roman" w:hAnsi="Times New Roman"/>
          <w:b/>
          <w:sz w:val="20"/>
        </w:rPr>
        <w:t>Participant Register</w:t>
      </w:r>
      <w:r>
        <w:rPr>
          <w:rFonts w:ascii="Times New Roman" w:hAnsi="Times New Roman"/>
          <w:sz w:val="20"/>
        </w:rPr>
        <w:t>”). Entries in the Participant Register shall be conclusive, absent manifest error, and such Lender shall treat each Person recorded in the register as the owner of the participation for all purposes, notwithstanding any notice to the contrary. No Lender shall have an obligation to disclose any information in such Participant Register, except to the extent necessary to establish that a participant’s interest is in registered form under the U.S. IRC and Section 5f.103-1(c) of the U.S. Treasury Regulations. Collateral Agent (in its capacity as Collateral Agent) shall have no responsibility for maintaining a Participant Register. This Section 12.1 shall be construed so that the Term Loans under any Loan Document are at all times maintained in “registered form” within the meanings of Sections 163(f), 871(h)(2) and 881(c)(2) of the IRC, and any Treasury Regulations (and any successor provisions) promulgated thereunder, including, without limitation, Treasury Regulations Sections 5f.103-1(c) and 1.871-14.</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12.2</w:t>
      </w:r>
      <w:r>
        <w:rPr>
          <w:rFonts w:ascii="Times New Roman" w:hAnsi="Times New Roman"/>
          <w:sz w:val="20"/>
        </w:rPr>
        <w:t xml:space="preserve"> </w:t>
      </w:r>
      <w:r>
        <w:rPr>
          <w:rFonts w:ascii="Times New Roman" w:hAnsi="Times New Roman"/>
          <w:b/>
          <w:sz w:val="20"/>
        </w:rPr>
        <w:t>Indemnification.</w:t>
      </w:r>
      <w:r>
        <w:rPr>
          <w:rFonts w:ascii="Times New Roman" w:hAnsi="Times New Roman"/>
          <w:sz w:val="20"/>
        </w:rPr>
        <w:t xml:space="preserve"> Borrower agrees to indemnify, defend and hold Collateral Agent and the Lenders and their respective directors, officers, employees, agents, attorneys, or any other Person affiliated with or representing Collateral Agent or the Lenders (each, an “</w:t>
      </w:r>
      <w:r>
        <w:rPr>
          <w:rFonts w:ascii="Times New Roman" w:hAnsi="Times New Roman"/>
          <w:b/>
          <w:sz w:val="20"/>
        </w:rPr>
        <w:t>Indemnified Person</w:t>
      </w:r>
      <w:r>
        <w:rPr>
          <w:rFonts w:ascii="Times New Roman" w:hAnsi="Times New Roman"/>
          <w:sz w:val="20"/>
        </w:rPr>
        <w:t>”) harmless against: (a) all obligations, demands, claims, and liabilities (collectively, “</w:t>
      </w:r>
      <w:r>
        <w:rPr>
          <w:rFonts w:ascii="Times New Roman" w:hAnsi="Times New Roman"/>
          <w:b/>
          <w:sz w:val="20"/>
        </w:rPr>
        <w:t>Claims</w:t>
      </w:r>
      <w:r>
        <w:rPr>
          <w:rFonts w:ascii="Times New Roman" w:hAnsi="Times New Roman"/>
          <w:sz w:val="20"/>
        </w:rPr>
        <w:t xml:space="preserve">”)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and documented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reasonable and documented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 </w:t>
      </w:r>
    </w:p>
    <w:p>
      <w:pPr>
        <w:pStyle w:val="TextBody"/>
        <w:bidi w:val="0"/>
        <w:spacing w:before="240" w:after="0"/>
        <w:jc w:val="left"/>
        <w:rPr>
          <w:rFonts w:ascii="Times New Roman" w:hAnsi="Times New Roman"/>
          <w:sz w:val="20"/>
        </w:rPr>
      </w:pPr>
      <w:r>
        <w:rPr>
          <w:rFonts w:ascii="Times New Roman" w:hAnsi="Times New Roman"/>
          <w:b/>
          <w:sz w:val="20"/>
        </w:rPr>
        <w:t>12.3</w:t>
      </w:r>
      <w:r>
        <w:rPr>
          <w:rFonts w:ascii="Times New Roman" w:hAnsi="Times New Roman"/>
          <w:sz w:val="20"/>
        </w:rPr>
        <w:t xml:space="preserve"> </w:t>
      </w:r>
      <w:r>
        <w:rPr>
          <w:rFonts w:ascii="Times New Roman" w:hAnsi="Times New Roman"/>
          <w:b/>
          <w:sz w:val="20"/>
        </w:rPr>
        <w:t>Time of Essence.</w:t>
      </w:r>
      <w:r>
        <w:rPr>
          <w:rFonts w:ascii="Times New Roman" w:hAnsi="Times New Roman"/>
          <w:sz w:val="20"/>
        </w:rPr>
        <w:t xml:space="preserve"> Time is of the essence for the performance of all Obligations in this Agreement. </w:t>
      </w:r>
    </w:p>
    <w:p>
      <w:pPr>
        <w:pStyle w:val="TextBody"/>
        <w:bidi w:val="0"/>
        <w:spacing w:before="240" w:after="0"/>
        <w:jc w:val="left"/>
        <w:rPr>
          <w:rFonts w:ascii="Times New Roman" w:hAnsi="Times New Roman"/>
          <w:sz w:val="20"/>
        </w:rPr>
      </w:pPr>
      <w:r>
        <w:rPr>
          <w:rFonts w:ascii="Times New Roman" w:hAnsi="Times New Roman"/>
          <w:b/>
          <w:sz w:val="20"/>
        </w:rPr>
        <w:t>12.4</w:t>
      </w:r>
      <w:r>
        <w:rPr>
          <w:rFonts w:ascii="Times New Roman" w:hAnsi="Times New Roman"/>
          <w:sz w:val="20"/>
        </w:rPr>
        <w:t xml:space="preserve"> </w:t>
      </w:r>
      <w:r>
        <w:rPr>
          <w:rFonts w:ascii="Times New Roman" w:hAnsi="Times New Roman"/>
          <w:b/>
          <w:sz w:val="20"/>
        </w:rPr>
        <w:t>Severability of Provisions.</w:t>
      </w:r>
      <w:r>
        <w:rPr>
          <w:rFonts w:ascii="Times New Roman" w:hAnsi="Times New Roman"/>
          <w:sz w:val="20"/>
        </w:rPr>
        <w:t xml:space="preserve"> Each provision of this Agreement is severable from every other provision in determining the enforceability of any provision. </w:t>
      </w:r>
    </w:p>
    <w:p>
      <w:pPr>
        <w:pStyle w:val="TextBody"/>
        <w:bidi w:val="0"/>
        <w:spacing w:before="240" w:after="0"/>
        <w:jc w:val="left"/>
        <w:rPr>
          <w:rFonts w:ascii="Times New Roman" w:hAnsi="Times New Roman"/>
          <w:sz w:val="20"/>
        </w:rPr>
      </w:pPr>
      <w:r>
        <w:rPr>
          <w:rFonts w:ascii="Times New Roman" w:hAnsi="Times New Roman"/>
          <w:b/>
          <w:sz w:val="20"/>
        </w:rPr>
        <w:t>12.5 Correction of Loan Documents.</w:t>
      </w:r>
      <w:r>
        <w:rPr>
          <w:rFonts w:ascii="Times New Roman" w:hAnsi="Times New Roman"/>
          <w:sz w:val="20"/>
        </w:rPr>
        <w:t xml:space="preserve"> Collateral Agent and the Lenders may correct patent errors and fill in any blanks in this Agreement and the other Loan Documents consistent with the agreement of the parties. </w:t>
      </w:r>
    </w:p>
    <w:p>
      <w:pPr>
        <w:pStyle w:val="TextBody"/>
        <w:bidi w:val="0"/>
        <w:spacing w:before="240" w:after="0"/>
        <w:jc w:val="left"/>
        <w:rPr>
          <w:rFonts w:ascii="Times New Roman" w:hAnsi="Times New Roman"/>
          <w:sz w:val="20"/>
        </w:rPr>
      </w:pPr>
      <w:r>
        <w:rPr>
          <w:rFonts w:ascii="Times New Roman" w:hAnsi="Times New Roman"/>
          <w:b/>
          <w:sz w:val="20"/>
        </w:rPr>
        <w:t>12.6</w:t>
      </w:r>
      <w:r>
        <w:rPr>
          <w:rFonts w:ascii="Times New Roman" w:hAnsi="Times New Roman"/>
          <w:sz w:val="20"/>
        </w:rPr>
        <w:t xml:space="preserve"> </w:t>
      </w:r>
      <w:r>
        <w:rPr>
          <w:rFonts w:ascii="Times New Roman" w:hAnsi="Times New Roman"/>
          <w:b/>
          <w:sz w:val="20"/>
        </w:rPr>
        <w:t>Amendments in Writing; Integration.</w:t>
      </w:r>
      <w:r>
        <w:rPr>
          <w:rFonts w:ascii="Times New Roman" w:hAnsi="Times New Roman"/>
          <w:sz w:val="20"/>
        </w:rPr>
        <w:t xml:space="preserve"> (a) No amendment, modification, termination or waiver of any provision of this Agreement or any 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 </w:t>
      </w:r>
    </w:p>
    <w:p>
      <w:pPr>
        <w:pStyle w:val="TextBody"/>
        <w:bidi w:val="0"/>
        <w:spacing w:before="240" w:after="0"/>
        <w:jc w:val="left"/>
        <w:rPr>
          <w:rFonts w:ascii="Times New Roman" w:hAnsi="Times New Roman"/>
          <w:sz w:val="20"/>
        </w:rPr>
      </w:pPr>
      <w:r>
        <w:rPr>
          <w:rFonts w:ascii="Times New Roman" w:hAnsi="Times New Roman"/>
          <w:sz w:val="20"/>
        </w:rPr>
        <w:t xml:space="preserve">(i) no such amendment, waiver or other modification that would have the effect of increasing or reducing a Lender’s Term Loan Commitment or Commitment Percentage shall be effective as to such Lender without such Lender’s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(ii) no such amendment, waiver or modification that would affect the rights and duties of Collateral Agent shall be effective without Collateral Agent’s written consent or signature; </w:t>
      </w:r>
    </w:p>
    <w:p>
      <w:pPr>
        <w:pStyle w:val="TextBody"/>
        <w:bidi w:val="0"/>
        <w:spacing w:before="240" w:after="0"/>
        <w:jc w:val="left"/>
        <w:rPr>
          <w:rFonts w:ascii="Times New Roman" w:hAnsi="Times New Roman"/>
          <w:sz w:val="20"/>
        </w:rPr>
      </w:pPr>
      <w:r>
        <w:rPr>
          <w:rFonts w:ascii="Times New Roman" w:hAnsi="Times New Roman"/>
          <w:sz w:val="20"/>
        </w:rPr>
        <w:t>(iii) 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Times New Roman" w:hAnsi="Times New Roman"/>
          <w:b/>
          <w:sz w:val="20"/>
        </w:rPr>
        <w:t>Required Lenders</w:t>
      </w:r>
      <w:r>
        <w:rPr>
          <w:rFonts w:ascii="Times New Roman" w:hAnsi="Times New Roman"/>
          <w:sz w:val="20"/>
        </w:rPr>
        <w:t xml:space="preserve">”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(iv) 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 </w:t>
      </w:r>
    </w:p>
    <w:p>
      <w:pPr>
        <w:pStyle w:val="TextBody"/>
        <w:bidi w:val="0"/>
        <w:spacing w:before="240" w:after="0"/>
        <w:jc w:val="left"/>
        <w:rPr>
          <w:rFonts w:ascii="Times New Roman" w:hAnsi="Times New Roman"/>
          <w:sz w:val="20"/>
        </w:rPr>
      </w:pPr>
      <w:r>
        <w:rPr>
          <w:rFonts w:ascii="Times New Roman" w:hAnsi="Times New Roman"/>
          <w:sz w:val="20"/>
        </w:rPr>
        <w:t xml:space="preserve">(b) Other than as expressly provided for in Section 12.6(a)(i)-(iii), Collateral Agent may, if requested by the Required Lenders, from time to time designate covenants in this Agreement less restrictive by notification to a representative of Borrower.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 </w:t>
      </w:r>
    </w:p>
    <w:p>
      <w:pPr>
        <w:pStyle w:val="TextBody"/>
        <w:bidi w:val="0"/>
        <w:spacing w:before="240" w:after="0"/>
        <w:jc w:val="left"/>
        <w:rPr>
          <w:rFonts w:ascii="Times New Roman" w:hAnsi="Times New Roman"/>
          <w:sz w:val="20"/>
        </w:rPr>
      </w:pPr>
      <w:r>
        <w:rPr>
          <w:rFonts w:ascii="Times New Roman" w:hAnsi="Times New Roman"/>
          <w:b/>
          <w:sz w:val="20"/>
        </w:rPr>
        <w:t>12.7</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This Agreement may be executed in any number of counterparts and by different parties on separate counterparts, each of which, when executed and delivered, is an original, and all taken together, constitute one Agreement. </w:t>
      </w:r>
    </w:p>
    <w:p>
      <w:pPr>
        <w:pStyle w:val="TextBody"/>
        <w:bidi w:val="0"/>
        <w:spacing w:before="240" w:after="0"/>
        <w:jc w:val="left"/>
        <w:rPr>
          <w:rFonts w:ascii="Times New Roman" w:hAnsi="Times New Roman"/>
          <w:sz w:val="20"/>
        </w:rPr>
      </w:pPr>
      <w:r>
        <w:rPr>
          <w:rFonts w:ascii="Times New Roman" w:hAnsi="Times New Roman"/>
          <w:b/>
          <w:sz w:val="20"/>
        </w:rPr>
        <w:t>12.8</w:t>
      </w:r>
      <w:r>
        <w:rPr>
          <w:rFonts w:ascii="Times New Roman" w:hAnsi="Times New Roman"/>
          <w:sz w:val="20"/>
        </w:rPr>
        <w:t xml:space="preserve"> </w:t>
      </w:r>
      <w:r>
        <w:rPr>
          <w:rFonts w:ascii="Times New Roman" w:hAnsi="Times New Roman"/>
          <w:b/>
          <w:sz w:val="20"/>
        </w:rPr>
        <w:t>Survival.</w:t>
      </w:r>
      <w:r>
        <w:rPr>
          <w:rFonts w:ascii="Times New Roman" w:hAnsi="Times New Roman"/>
          <w:sz w:val="20"/>
        </w:rPr>
        <w:t xml:space="preserve"> All covenants, representations and warranties made in this Agreement continue in full force and effect until this Agreement has 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12.9 below, shall survive until the statute of limitations with respect to such claim or cause of action shall have run. </w:t>
      </w:r>
    </w:p>
    <w:p>
      <w:pPr>
        <w:pStyle w:val="TextBody"/>
        <w:bidi w:val="0"/>
        <w:spacing w:before="240" w:after="0"/>
        <w:jc w:val="left"/>
        <w:rPr>
          <w:rFonts w:ascii="Times New Roman" w:hAnsi="Times New Roman"/>
          <w:sz w:val="20"/>
        </w:rPr>
      </w:pPr>
      <w:r>
        <w:rPr>
          <w:rFonts w:ascii="Times New Roman" w:hAnsi="Times New Roman"/>
          <w:b/>
          <w:sz w:val="20"/>
        </w:rPr>
        <w:t>12.9</w:t>
      </w:r>
      <w:r>
        <w:rPr>
          <w:rFonts w:ascii="Times New Roman" w:hAnsi="Times New Roman"/>
          <w:sz w:val="20"/>
        </w:rPr>
        <w:t xml:space="preserve"> </w:t>
      </w:r>
      <w:r>
        <w:rPr>
          <w:rFonts w:ascii="Times New Roman" w:hAnsi="Times New Roman"/>
          <w:b/>
          <w:sz w:val="20"/>
        </w:rPr>
        <w:t>Confidentiality.</w:t>
      </w:r>
      <w:r>
        <w:rPr>
          <w:rFonts w:ascii="Times New Roman" w:hAnsi="Times New Roman"/>
          <w:sz w:val="20"/>
        </w:rPr>
        <w:t xml:space="preserve"> In handling any confidential information of Borrower, the Lenders and Collateral Agent shall exercise the same degree of 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12.10</w:t>
      </w:r>
      <w:r>
        <w:rPr>
          <w:rFonts w:ascii="Times New Roman" w:hAnsi="Times New Roman"/>
          <w:sz w:val="20"/>
        </w:rPr>
        <w:t xml:space="preserve"> </w:t>
      </w:r>
      <w:r>
        <w:rPr>
          <w:rFonts w:ascii="Times New Roman" w:hAnsi="Times New Roman"/>
          <w:b/>
          <w:sz w:val="20"/>
        </w:rPr>
        <w:t>Public Announcement.</w:t>
      </w:r>
      <w:r>
        <w:rPr>
          <w:rFonts w:ascii="Times New Roman" w:hAnsi="Times New Roman"/>
          <w:sz w:val="20"/>
        </w:rPr>
        <w:t xml:space="preserve"> Notwithstanding anything else herein to the contrary, Borrower hereby agrees that Collateral Agent and each Lender may make a public announcement of the transactions contemplated by this Agreement, and may publicize the same on its company website, in marketing materials, newspapers and other publications, and otherwise, and in connection therewith may use Borrower’s name, tradenames, logos, and any information related to the transactions to the extent such information is not confidential. </w:t>
      </w:r>
    </w:p>
    <w:p>
      <w:pPr>
        <w:pStyle w:val="TextBody"/>
        <w:bidi w:val="0"/>
        <w:spacing w:before="240" w:after="0"/>
        <w:jc w:val="left"/>
        <w:rPr>
          <w:rFonts w:ascii="Times New Roman" w:hAnsi="Times New Roman"/>
          <w:sz w:val="20"/>
        </w:rPr>
      </w:pPr>
      <w:r>
        <w:rPr>
          <w:rFonts w:ascii="Times New Roman" w:hAnsi="Times New Roman"/>
          <w:b/>
          <w:sz w:val="20"/>
        </w:rPr>
        <w:t>12.11</w:t>
      </w:r>
      <w:r>
        <w:rPr>
          <w:rFonts w:ascii="Times New Roman" w:hAnsi="Times New Roman"/>
          <w:sz w:val="20"/>
        </w:rPr>
        <w:t xml:space="preserve"> </w:t>
      </w:r>
      <w:r>
        <w:rPr>
          <w:rFonts w:ascii="Times New Roman" w:hAnsi="Times New Roman"/>
          <w:b/>
          <w:sz w:val="20"/>
        </w:rPr>
        <w:t>Right of Set Off.</w:t>
      </w:r>
      <w:r>
        <w:rPr>
          <w:rFonts w:ascii="Times New Roman" w:hAnsi="Times New Roman"/>
          <w:sz w:val="20"/>
        </w:rPr>
        <w:t xml:space="preserve"> Borrower hereby grants to Collateral Agent and to each Lender, a lien, security interest and right of set off as security for 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w:t>
      </w:r>
    </w:p>
    <w:p>
      <w:pPr>
        <w:pStyle w:val="TextBody"/>
        <w:bidi w:val="0"/>
        <w:spacing w:before="240" w:after="0"/>
        <w:jc w:val="left"/>
        <w:rPr>
          <w:rFonts w:ascii="Times New Roman" w:hAnsi="Times New Roman"/>
          <w:sz w:val="20"/>
        </w:rPr>
      </w:pPr>
      <w:r>
        <w:rPr>
          <w:rFonts w:ascii="Times New Roman" w:hAnsi="Times New Roman"/>
          <w:b/>
          <w:sz w:val="20"/>
        </w:rPr>
        <w:t>12.12</w:t>
      </w:r>
      <w:r>
        <w:rPr>
          <w:rFonts w:ascii="Times New Roman" w:hAnsi="Times New Roman"/>
          <w:sz w:val="20"/>
        </w:rPr>
        <w:t xml:space="preserve"> </w:t>
      </w:r>
      <w:r>
        <w:rPr>
          <w:rFonts w:ascii="Times New Roman" w:hAnsi="Times New Roman"/>
          <w:b/>
          <w:sz w:val="20"/>
        </w:rPr>
        <w:t>Cooperation of Borrower.</w:t>
      </w:r>
      <w:r>
        <w:rPr>
          <w:rFonts w:ascii="Times New Roman" w:hAnsi="Times New Roman"/>
          <w:sz w:val="20"/>
        </w:rPr>
        <w:t xml:space="preserve"> If necessary, Borrower agrees to (i) execute any documents reasonably required to effectuate and acknowledge each assignment of a Term Loan Commitment or Term Loan to an assignee in accordance with Section 12.1, (ii) make Borrower’s management available to meet with Collateral Agent and prospective participants and assignees of Term Loan Commitments or Credit Extensions (which meetings shall be conducted no more often than once every twelve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provided that, unless an Event of Default has occurred or is continuing, such assignee is not a direct competitor of Borrower.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 provided that, unless an Event of Default has occurred or is continuing, such prospective assignee is not a direct competitor of Borrower. </w:t>
      </w:r>
    </w:p>
    <w:p>
      <w:pPr>
        <w:pStyle w:val="TextBody"/>
        <w:bidi w:val="0"/>
        <w:spacing w:before="240" w:after="0"/>
        <w:jc w:val="left"/>
        <w:rPr>
          <w:rFonts w:ascii="Times New Roman" w:hAnsi="Times New Roman"/>
          <w:sz w:val="20"/>
        </w:rPr>
      </w:pPr>
      <w:r>
        <w:rPr>
          <w:rFonts w:ascii="Times New Roman" w:hAnsi="Times New Roman"/>
          <w:b/>
          <w:sz w:val="20"/>
        </w:rPr>
        <w:t>12.13</w:t>
      </w:r>
      <w:r>
        <w:rPr>
          <w:rFonts w:ascii="Times New Roman" w:hAnsi="Times New Roman"/>
          <w:sz w:val="20"/>
        </w:rPr>
        <w:t xml:space="preserve"> </w:t>
      </w:r>
      <w:r>
        <w:rPr>
          <w:rFonts w:ascii="Times New Roman" w:hAnsi="Times New Roman"/>
          <w:b/>
          <w:sz w:val="20"/>
        </w:rPr>
        <w:t>USA PATRIOT Act Notice</w:t>
      </w:r>
      <w:r>
        <w:rPr>
          <w:rFonts w:ascii="Times New Roman" w:hAnsi="Times New Roman"/>
          <w:sz w:val="20"/>
        </w:rPr>
        <w:t xml:space="preserve">. Collateral Agent hereby notifies Borrower and each of its Subsidiaries that pursuant to the requirements of Anti-Money Laundering Laws, and Collateral Agent’s policies and practices related thereto, Collateral Agent is required to obtain, verify and record certain information and documentation that identifies Borrower and each of its Subsidiaries, which information includes the name and address of Borrower and each of its Subsidiaries and such other information that will allow Collateral Agent to identify such party in accordance with Anti-Money Laundering 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DEFINITIONS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13.1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As used in this Agreement, the following terms have the following meanings: </w:t>
      </w:r>
    </w:p>
    <w:p>
      <w:pPr>
        <w:pStyle w:val="TextBody"/>
        <w:bidi w:val="0"/>
        <w:spacing w:before="240" w:after="0"/>
        <w:jc w:val="left"/>
        <w:rPr/>
      </w:pPr>
      <w:r>
        <w:rPr/>
        <w:t>“</w:t>
      </w:r>
      <w:r>
        <w:rPr>
          <w:rFonts w:ascii="Times New Roman" w:hAnsi="Times New Roman"/>
          <w:b/>
          <w:sz w:val="20"/>
        </w:rPr>
        <w:t>1-Month CME Term</w:t>
      </w:r>
      <w:r>
        <w:rPr>
          <w:rFonts w:ascii="Times New Roman" w:hAnsi="Times New Roman"/>
          <w:sz w:val="20"/>
        </w:rPr>
        <w:t xml:space="preserve"> </w:t>
      </w:r>
      <w:r>
        <w:rPr>
          <w:rFonts w:ascii="Times New Roman" w:hAnsi="Times New Roman"/>
          <w:b/>
          <w:sz w:val="20"/>
        </w:rPr>
        <w:t>SOFR</w:t>
      </w:r>
      <w:r>
        <w:rPr>
          <w:rFonts w:ascii="Times New Roman" w:hAnsi="Times New Roman"/>
          <w:sz w:val="20"/>
        </w:rPr>
        <w:t xml:space="preserve">” is the 1-month CME Term SOFR reference rate as published by the CME Term SOFR Administrator on the CME Term SOFR Administrator’s Website. </w:t>
      </w:r>
    </w:p>
    <w:p>
      <w:pPr>
        <w:pStyle w:val="TextBody"/>
        <w:bidi w:val="0"/>
        <w:spacing w:before="240" w:after="0"/>
        <w:jc w:val="left"/>
        <w:rPr/>
      </w:pPr>
      <w:r>
        <w:rPr/>
        <w:t>“</w:t>
      </w:r>
      <w:r>
        <w:rPr>
          <w:rFonts w:ascii="Times New Roman" w:hAnsi="Times New Roman"/>
          <w:b/>
          <w:sz w:val="20"/>
        </w:rPr>
        <w:t>Account</w:t>
      </w:r>
      <w:r>
        <w:rPr>
          <w:rFonts w:ascii="Times New Roman" w:hAnsi="Times New Roman"/>
          <w:sz w:val="20"/>
        </w:rPr>
        <w:t xml:space="preserve">” is any “account” as defined in the Code with such additions to such term as may hereafter be made, and includes, without limitation, all accounts receivable and other sums owing to Borrower.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Account Debtor</w:t>
      </w:r>
      <w:r>
        <w:rPr>
          <w:rFonts w:ascii="Times New Roman" w:hAnsi="Times New Roman"/>
          <w:sz w:val="20"/>
        </w:rPr>
        <w:t xml:space="preserve">” is any “account debtor”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is defined in the preamble hereof. </w:t>
      </w:r>
    </w:p>
    <w:p>
      <w:pPr>
        <w:pStyle w:val="TextBody"/>
        <w:bidi w:val="0"/>
        <w:spacing w:before="240" w:after="0"/>
        <w:jc w:val="left"/>
        <w:rPr/>
      </w:pPr>
      <w:r>
        <w:rPr/>
        <w:t>“</w:t>
      </w:r>
      <w:r>
        <w:rPr>
          <w:rFonts w:ascii="Times New Roman" w:hAnsi="Times New Roman"/>
          <w:b/>
          <w:sz w:val="20"/>
        </w:rPr>
        <w:t>Amortization Date</w:t>
      </w:r>
      <w:r>
        <w:rPr>
          <w:rFonts w:ascii="Times New Roman" w:hAnsi="Times New Roman"/>
          <w:sz w:val="20"/>
        </w:rPr>
        <w:t xml:space="preserve">” is, (i) September 1, 2029, if the Second Draw Period Commencement Event does not occur, and (ii) September 1, 2030, if the Second Draw Period Commencement Event occurs. Notwithstanding the foregoing, if the Second Draw Period Commencement Event occurs and the Fourth Draw Period Commencement Event also occurs, upon Borrower’s election (which Borrower must make no later than thirty (30) days of the later of (i) the thirteenth month anniversary of the Effective Date and (ii) the occurrence of the Fourth Draw Period Commencement Event), the Amortization Date will become September 1, 2031. </w:t>
      </w:r>
    </w:p>
    <w:p>
      <w:pPr>
        <w:pStyle w:val="TextBody"/>
        <w:bidi w:val="0"/>
        <w:spacing w:before="240" w:after="0"/>
        <w:jc w:val="left"/>
        <w:rPr/>
      </w:pPr>
      <w:r>
        <w:rPr/>
        <w:t>“</w:t>
      </w:r>
      <w:r>
        <w:rPr>
          <w:rFonts w:ascii="Times New Roman" w:hAnsi="Times New Roman"/>
          <w:b/>
          <w:sz w:val="20"/>
        </w:rPr>
        <w:t>Amortization Months</w:t>
      </w:r>
      <w:r>
        <w:rPr>
          <w:rFonts w:ascii="Times New Roman" w:hAnsi="Times New Roman"/>
          <w:sz w:val="20"/>
        </w:rPr>
        <w:t xml:space="preserve">” means the number of Payment Dates from and including the Amortization Date and through and including the Maturity Date. </w:t>
      </w:r>
    </w:p>
    <w:p>
      <w:pPr>
        <w:pStyle w:val="TextBody"/>
        <w:bidi w:val="0"/>
        <w:spacing w:before="240" w:after="0"/>
        <w:jc w:val="left"/>
        <w:rPr/>
      </w:pPr>
      <w:r>
        <w:rPr/>
        <w:t>“</w:t>
      </w:r>
      <w:r>
        <w:rPr>
          <w:rFonts w:ascii="Times New Roman" w:hAnsi="Times New Roman"/>
          <w:b/>
          <w:sz w:val="20"/>
        </w:rPr>
        <w:t>Annual Projections</w:t>
      </w:r>
      <w:r>
        <w:rPr>
          <w:rFonts w:ascii="Times New Roman" w:hAnsi="Times New Roman"/>
          <w:sz w:val="20"/>
        </w:rPr>
        <w:t xml:space="preserve">” is defined in Section 6.2(a). </w:t>
      </w:r>
    </w:p>
    <w:p>
      <w:pPr>
        <w:pStyle w:val="TextBody"/>
        <w:bidi w:val="0"/>
        <w:spacing w:before="240" w:after="0"/>
        <w:jc w:val="left"/>
        <w:rPr/>
      </w:pPr>
      <w:r>
        <w:rPr/>
        <w:t>“</w:t>
      </w:r>
      <w:r>
        <w:rPr>
          <w:rFonts w:ascii="Times New Roman" w:hAnsi="Times New Roman"/>
          <w:b/>
          <w:sz w:val="20"/>
        </w:rPr>
        <w:t>Anti-Terrorism Laws</w:t>
      </w:r>
      <w:r>
        <w:rPr>
          <w:rFonts w:ascii="Times New Roman" w:hAnsi="Times New Roman"/>
          <w:sz w:val="20"/>
        </w:rPr>
        <w:t xml:space="preserve">” are any laws relating to terrorism or money laundering, including Executive Order No. 13224 (effective September 24, 2001), the USA PATRIOT Act, the laws comprising or implementing the Bank Secrecy Act, and the laws administered by OFAC. </w:t>
      </w:r>
    </w:p>
    <w:p>
      <w:pPr>
        <w:pStyle w:val="TextBody"/>
        <w:bidi w:val="0"/>
        <w:spacing w:before="240" w:after="0"/>
        <w:jc w:val="left"/>
        <w:rPr/>
      </w:pPr>
      <w:r>
        <w:rPr/>
        <w:t>“</w:t>
      </w:r>
      <w:r>
        <w:rPr>
          <w:rFonts w:ascii="Times New Roman" w:hAnsi="Times New Roman"/>
          <w:b/>
          <w:sz w:val="20"/>
        </w:rPr>
        <w:t>Approved Fund</w:t>
      </w:r>
      <w:r>
        <w:rPr>
          <w:rFonts w:ascii="Times New Roman" w:hAnsi="Times New Roman"/>
          <w:sz w:val="20"/>
        </w:rPr>
        <w:t xml:space="preserve">” is any (a) Person, investment company, fund, securitization vehicle or conduit that is (or will be) engaged in making, purchasing, holding or otherwise investing in commercial loans and similar extensions of credit in the ordinary course of its business and that is administered or managed by (i) a Lender, (ii) an Affiliate of a Lender, or (iii) a Person (other than a natural person) or an Affiliate of a Person (other than a natural person) that administers or manages a Lender, or (b) any Person (other than a natural person) which temporarily warehouses loans, or provides financing or securitizations, in each case, for any Lender or any entity described in the preceding clause (a). </w:t>
      </w:r>
    </w:p>
    <w:p>
      <w:pPr>
        <w:pStyle w:val="TextBody"/>
        <w:bidi w:val="0"/>
        <w:spacing w:before="240" w:after="0"/>
        <w:jc w:val="left"/>
        <w:rPr/>
      </w:pPr>
      <w:r>
        <w:rPr/>
        <w:t>“</w:t>
      </w:r>
      <w:r>
        <w:rPr>
          <w:rFonts w:ascii="Times New Roman" w:hAnsi="Times New Roman"/>
          <w:b/>
          <w:sz w:val="20"/>
        </w:rPr>
        <w:t>Approved Lender</w:t>
      </w:r>
      <w:r>
        <w:rPr>
          <w:rFonts w:ascii="Times New Roman" w:hAnsi="Times New Roman"/>
          <w:sz w:val="20"/>
        </w:rPr>
        <w:t xml:space="preserve">” is defined in Section 12.1. </w:t>
      </w:r>
    </w:p>
    <w:p>
      <w:pPr>
        <w:pStyle w:val="TextBody"/>
        <w:bidi w:val="0"/>
        <w:spacing w:before="240" w:after="0"/>
        <w:jc w:val="left"/>
        <w:rPr/>
      </w:pPr>
      <w:r>
        <w:rPr/>
        <w:t>“</w:t>
      </w:r>
      <w:r>
        <w:rPr>
          <w:rFonts w:ascii="Times New Roman" w:hAnsi="Times New Roman"/>
          <w:b/>
          <w:sz w:val="20"/>
        </w:rPr>
        <w:t>Australian Sub</w:t>
      </w:r>
      <w:r>
        <w:rPr>
          <w:rFonts w:ascii="Times New Roman" w:hAnsi="Times New Roman"/>
          <w:sz w:val="20"/>
        </w:rPr>
        <w:t xml:space="preserve">” means Annexon Biosciences Australia Pty Ltd, an Australian private limited company and wholly owned Subsidiary of Borrower. </w:t>
      </w:r>
    </w:p>
    <w:p>
      <w:pPr>
        <w:pStyle w:val="TextBody"/>
        <w:bidi w:val="0"/>
        <w:spacing w:before="240" w:after="0"/>
        <w:jc w:val="left"/>
        <w:rPr/>
      </w:pPr>
      <w:r>
        <w:rPr/>
        <w:t>“</w:t>
      </w:r>
      <w:r>
        <w:rPr>
          <w:rFonts w:ascii="Times New Roman" w:hAnsi="Times New Roman"/>
          <w:b/>
          <w:sz w:val="20"/>
        </w:rPr>
        <w:t>Basic Rate</w:t>
      </w:r>
      <w:r>
        <w:rPr>
          <w:rFonts w:ascii="Times New Roman" w:hAnsi="Times New Roman"/>
          <w:sz w:val="20"/>
        </w:rPr>
        <w:t xml:space="preserve">” is with respect to each Term Loan, the per annum rate of interest (based on a year of three hundred sixty (360) days) equal to (a) the greater of (i) the 1-Month CME Term SOFR on the last Business Day of the month that immediately precedes the month in which the interest will accrue and (ii) three percent (3.00%), plus (b) four and sixty-hundredths percent (4.60%). Notwithstanding the foregoing, (i) in no event shall the Basic Rate for any Term Loan be less than seven and sixty hundredths percent (7.60%), and (ii) upon the occurrence of a Benchmark Transition Event, Collateral Agent may, in good faith and with reference to the margin above such interest rate in this definition, amend this Agreement to replace the Benchmark with a replacement interest rate and replacement margin above such interest rate that results in a substantially similar interest rate floor and total rate in effect immediately prior to the effectiveness of such replacement interest rate and replacement margin, and any such amendment shall become effective at 5:00 p.m. Eastern time on the third Business Day after Collateral Agent has notified Borrower of such amendment, and (iii) the Basic Rate for the Term A Loan for the period from the Effective Date through and including July 31, 2026 shall be 8.25197%. Any determination, decision or election that may be made by Collateral Agent pursuant hereto will be conclusive and binding absent manifest error and may be made in Collateral Agent’s sole discretion and without consent from any other party.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Benchmark</w:t>
      </w:r>
      <w:r>
        <w:rPr>
          <w:rFonts w:ascii="Times New Roman" w:hAnsi="Times New Roman"/>
          <w:sz w:val="20"/>
        </w:rPr>
        <w:t xml:space="preserve">” is, initially, the 1-Month CME Term SOFR; provided, that if a Benchmark Transition Event has occurred with respect to the 1-Month CME Term SOFR or the then-current Benchmark, then “Benchmark” means the applicable replacement rate that has replaced the immediately preceding benchmark rate pursuant to the defined term “Basic Rate”. </w:t>
      </w:r>
    </w:p>
    <w:p>
      <w:pPr>
        <w:pStyle w:val="TextBody"/>
        <w:bidi w:val="0"/>
        <w:spacing w:before="240" w:after="0"/>
        <w:jc w:val="left"/>
        <w:rPr/>
      </w:pPr>
      <w:r>
        <w:rPr/>
        <w:t>“</w:t>
      </w:r>
      <w:r>
        <w:rPr>
          <w:rFonts w:ascii="Times New Roman" w:hAnsi="Times New Roman"/>
          <w:b/>
          <w:sz w:val="20"/>
        </w:rPr>
        <w:t>Benchmark</w:t>
      </w:r>
      <w:r>
        <w:rPr>
          <w:rFonts w:ascii="Times New Roman" w:hAnsi="Times New Roman"/>
          <w:sz w:val="20"/>
        </w:rPr>
        <w:t xml:space="preserve"> </w:t>
      </w:r>
      <w:r>
        <w:rPr>
          <w:rFonts w:ascii="Times New Roman" w:hAnsi="Times New Roman"/>
          <w:b/>
          <w:sz w:val="20"/>
        </w:rPr>
        <w:t>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240" w:after="0"/>
        <w:jc w:val="left"/>
        <w:rPr>
          <w:rFonts w:ascii="Times New Roman" w:hAnsi="Times New Roman"/>
          <w:sz w:val="20"/>
        </w:rPr>
      </w:pPr>
      <w:r>
        <w:rPr>
          <w:rFonts w:ascii="Times New Roman" w:hAnsi="Times New Roman"/>
          <w:sz w:val="20"/>
        </w:rPr>
        <w:t>(a) a public statement or publication of information by or on behalf of the administrator for such Benchmark announcing that such Person has ceased or will cease to provide such Benchmark, permanently or indefinitely, provided that, at the time of such statement or publication, there is no successor administrator that will continue to provide such Benchmark;</w:t>
      </w:r>
    </w:p>
    <w:p>
      <w:pPr>
        <w:pStyle w:val="TextBody"/>
        <w:bidi w:val="0"/>
        <w:spacing w:before="24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for such Benchmark, the U.S. Federal Reserve System,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which states that the administrator for such Benchmark has ceased or will cease to provide such Benchmark permanently or indefinitely, provided that, at the time of such statement or publication, there is no successor administrator that will continue to provide such Benchmark; or </w:t>
      </w:r>
    </w:p>
    <w:p>
      <w:pPr>
        <w:pStyle w:val="TextBody"/>
        <w:bidi w:val="0"/>
        <w:spacing w:before="240" w:after="0"/>
        <w:jc w:val="left"/>
        <w:rPr>
          <w:rFonts w:ascii="Times New Roman" w:hAnsi="Times New Roman"/>
          <w:sz w:val="20"/>
        </w:rPr>
      </w:pPr>
      <w:r>
        <w:rPr>
          <w:rFonts w:ascii="Times New Roman" w:hAnsi="Times New Roman"/>
          <w:sz w:val="20"/>
        </w:rPr>
        <w:t>(c) a public statement or publication of information by the regulatory supervisor for the administrator for such Benchmark announcing that such Benchmark is no longer representative or in compliance with the International Organization of Securities Commissions Principles for Financial Benchmarks.</w:t>
      </w:r>
    </w:p>
    <w:p>
      <w:pPr>
        <w:pStyle w:val="TextBody"/>
        <w:bidi w:val="0"/>
        <w:spacing w:before="240" w:after="0"/>
        <w:jc w:val="left"/>
        <w:rPr/>
      </w:pPr>
      <w:r>
        <w:rPr/>
        <w:t>“</w:t>
      </w:r>
      <w:r>
        <w:rPr>
          <w:rFonts w:ascii="Times New Roman" w:hAnsi="Times New Roman"/>
          <w:b/>
          <w:sz w:val="20"/>
        </w:rPr>
        <w:t>Blocked Person</w:t>
      </w:r>
      <w:r>
        <w:rPr>
          <w:rFonts w:ascii="Times New Roman" w:hAnsi="Times New Roman"/>
          <w:sz w:val="20"/>
        </w:rPr>
        <w:t xml:space="preserve">”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 </w:t>
      </w:r>
    </w:p>
    <w:p>
      <w:pPr>
        <w:pStyle w:val="TextBody"/>
        <w:bidi w:val="0"/>
        <w:spacing w:before="240" w:after="0"/>
        <w:jc w:val="left"/>
        <w:rPr/>
      </w:pPr>
      <w:r>
        <w:rPr/>
        <w:t>“</w:t>
      </w:r>
      <w:r>
        <w:rPr>
          <w:rFonts w:ascii="Times New Roman" w:hAnsi="Times New Roman"/>
          <w:b/>
          <w:sz w:val="20"/>
        </w:rPr>
        <w:t>Borrower</w:t>
      </w:r>
      <w:r>
        <w:rPr>
          <w:rFonts w:ascii="Times New Roman" w:hAnsi="Times New Roman"/>
          <w:sz w:val="20"/>
        </w:rPr>
        <w:t xml:space="preserve">” is defined in the preamble hereof. </w:t>
      </w:r>
    </w:p>
    <w:p>
      <w:pPr>
        <w:pStyle w:val="TextBody"/>
        <w:bidi w:val="0"/>
        <w:spacing w:before="240" w:after="0"/>
        <w:jc w:val="left"/>
        <w:rPr/>
      </w:pPr>
      <w:r>
        <w:rPr/>
        <w:t>“</w:t>
      </w:r>
      <w:r>
        <w:rPr>
          <w:rFonts w:ascii="Times New Roman" w:hAnsi="Times New Roman"/>
          <w:b/>
          <w:sz w:val="20"/>
        </w:rPr>
        <w:t>Borrower’s Books</w:t>
      </w:r>
      <w:r>
        <w:rPr>
          <w:rFonts w:ascii="Times New Roman" w:hAnsi="Times New Roman"/>
          <w:sz w:val="20"/>
        </w:rPr>
        <w:t xml:space="preserve">”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is any day that is not a Saturday, Sunday or a day on which Collateral Agent is closed. </w:t>
      </w:r>
    </w:p>
    <w:p>
      <w:pPr>
        <w:pStyle w:val="TextBody"/>
        <w:bidi w:val="0"/>
        <w:spacing w:before="240" w:after="0"/>
        <w:jc w:val="left"/>
        <w:rPr/>
      </w:pPr>
      <w:r>
        <w:rPr/>
        <w:t>“</w:t>
      </w:r>
      <w:r>
        <w:rPr>
          <w:rFonts w:ascii="Times New Roman" w:hAnsi="Times New Roman"/>
          <w:b/>
          <w:sz w:val="20"/>
        </w:rPr>
        <w:t>Cash Equivalents</w:t>
      </w:r>
      <w:r>
        <w:rPr>
          <w:rFonts w:ascii="Times New Roman" w:hAnsi="Times New Roman"/>
          <w:sz w:val="20"/>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Times New Roman" w:hAnsi="Times New Roman"/>
          <w:b/>
          <w:sz w:val="20"/>
        </w:rPr>
        <w:t>Auction Rate Security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Cash Covenant</w:t>
      </w:r>
      <w:r>
        <w:rPr>
          <w:rFonts w:ascii="Times New Roman" w:hAnsi="Times New Roman"/>
          <w:sz w:val="20"/>
        </w:rPr>
        <w:t xml:space="preserve"> </w:t>
      </w:r>
      <w:r>
        <w:rPr>
          <w:rFonts w:ascii="Times New Roman" w:hAnsi="Times New Roman"/>
          <w:b/>
          <w:sz w:val="20"/>
        </w:rPr>
        <w:t>Applicable Percentage</w:t>
      </w:r>
      <w:r>
        <w:rPr>
          <w:rFonts w:ascii="Times New Roman" w:hAnsi="Times New Roman"/>
          <w:sz w:val="20"/>
        </w:rPr>
        <w:t xml:space="preserve">” is: </w:t>
      </w:r>
    </w:p>
    <w:p>
      <w:pPr>
        <w:pStyle w:val="TextBody"/>
        <w:bidi w:val="0"/>
        <w:spacing w:before="240" w:after="0"/>
        <w:jc w:val="left"/>
        <w:rPr>
          <w:rFonts w:ascii="Times New Roman" w:hAnsi="Times New Roman"/>
          <w:sz w:val="20"/>
        </w:rPr>
      </w:pPr>
      <w:r>
        <w:rPr>
          <w:rFonts w:ascii="Times New Roman" w:hAnsi="Times New Roman"/>
          <w:sz w:val="20"/>
        </w:rPr>
        <w:t xml:space="preserve">(a) [**]% if the aggregate principal amount of Term Loans outstanding is less than or equal to Fifty Million Dollars ($50,000,000.00); </w:t>
      </w:r>
    </w:p>
    <w:p>
      <w:pPr>
        <w:pStyle w:val="TextBody"/>
        <w:bidi w:val="0"/>
        <w:spacing w:before="120" w:after="0"/>
        <w:jc w:val="left"/>
        <w:rPr>
          <w:rFonts w:ascii="Times New Roman" w:hAnsi="Times New Roman"/>
          <w:sz w:val="20"/>
        </w:rPr>
      </w:pPr>
      <w:r>
        <w:rPr>
          <w:rFonts w:ascii="Times New Roman" w:hAnsi="Times New Roman"/>
          <w:sz w:val="20"/>
        </w:rPr>
        <w:t xml:space="preserve">(b) If the aggregate principal amount of Term Loans outstanding is more than Fifty Million Dollars ($50,000,000.00): </w:t>
      </w:r>
    </w:p>
    <w:p>
      <w:pPr>
        <w:pStyle w:val="TextBody"/>
        <w:bidi w:val="0"/>
        <w:spacing w:before="120" w:after="0"/>
        <w:jc w:val="left"/>
        <w:rPr>
          <w:rFonts w:ascii="Times New Roman" w:hAnsi="Times New Roman"/>
          <w:sz w:val="20"/>
        </w:rPr>
      </w:pPr>
      <w:r>
        <w:rPr>
          <w:rFonts w:ascii="Times New Roman" w:hAnsi="Times New Roman"/>
          <w:sz w:val="20"/>
        </w:rPr>
        <w:t xml:space="preserve">(i) [**]%, if either the Second Draw Period Commencement Event or the Third Draw Period Commencement Event has occurred (but not both), and the Fourth Draw Period Commencement Event has not occurred; </w:t>
      </w:r>
    </w:p>
    <w:p>
      <w:pPr>
        <w:pStyle w:val="TextBody"/>
        <w:bidi w:val="0"/>
        <w:spacing w:before="120" w:after="0"/>
        <w:jc w:val="left"/>
        <w:rPr>
          <w:rFonts w:ascii="Times New Roman" w:hAnsi="Times New Roman"/>
          <w:sz w:val="20"/>
        </w:rPr>
      </w:pPr>
      <w:r>
        <w:rPr>
          <w:rFonts w:ascii="Times New Roman" w:hAnsi="Times New Roman"/>
          <w:sz w:val="20"/>
        </w:rPr>
        <w:t xml:space="preserve">(ii) [**]%, if the Second Draw Period Commencement Event and the Third Draw Period Commencement Event have each occurred but the Fourth Draw Period Commencement Event has not occurred; and </w:t>
      </w:r>
    </w:p>
    <w:p>
      <w:pPr>
        <w:pStyle w:val="TextBody"/>
        <w:bidi w:val="0"/>
        <w:spacing w:before="120" w:after="0"/>
        <w:jc w:val="left"/>
        <w:rPr>
          <w:rFonts w:ascii="Times New Roman" w:hAnsi="Times New Roman"/>
          <w:sz w:val="20"/>
        </w:rPr>
      </w:pPr>
      <w:r>
        <w:rPr>
          <w:rFonts w:ascii="Times New Roman" w:hAnsi="Times New Roman"/>
          <w:sz w:val="20"/>
        </w:rPr>
        <w:t xml:space="preserve">(iii) [**]%, if the Second Draw Period Commencement Event, the Third Draw Period Commencement Event, and the Fourth Draw Period Commencement Event have each occurred; and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provisions clauses (a) and (b) above, </w:t>
      </w:r>
    </w:p>
    <w:p>
      <w:pPr>
        <w:pStyle w:val="TextBody"/>
        <w:bidi w:val="0"/>
        <w:spacing w:before="120" w:after="0"/>
        <w:jc w:val="left"/>
        <w:rPr>
          <w:rFonts w:ascii="Times New Roman" w:hAnsi="Times New Roman"/>
          <w:sz w:val="20"/>
        </w:rPr>
      </w:pPr>
      <w:r>
        <w:rPr>
          <w:rFonts w:ascii="Times New Roman" w:hAnsi="Times New Roman"/>
          <w:sz w:val="20"/>
        </w:rPr>
        <w:t xml:space="preserve">(i) If clinical development of Borrower’s product candidate Vonaprument for the treatment of Geographic Atrophy is halted or discontinued or the clinical development of such product candidate is generally (any indication) halted or discontinued or such product candidate receives a Complete Response Letter from the U.S. Food and Drug Administration, the Cash Covenant Applicable Percentage will automatically become (A) [**]% if the aggregate outstanding principal balance of the Term Loans is Seventy Five Millon Dollars ($75,000,000.00) or less, (B) such percentage that ensures that the difference between the aggregate outstanding principal balance of the Term Loans minus the aggregate unrestricted balance of cash and Cash Equivalents is not greater than Fifty Million Dollars ($50,000,000.00) if the aggregate outstanding principal balance of the Term Loans is more than Seventy Five Millon Dollars ($75,000,000.00) and less than One Hundred Million Dollars ($100,000,000.00), or (C) [**]% if the aggregate outstanding principal balance of the Term Loans is One Hundred Million Dollars ($100,000,000.00) or more, in either case through the Maturity Date; and </w:t>
      </w:r>
    </w:p>
    <w:p>
      <w:pPr>
        <w:pStyle w:val="TextBody"/>
        <w:bidi w:val="0"/>
        <w:spacing w:before="120" w:after="0"/>
        <w:jc w:val="left"/>
        <w:rPr>
          <w:rFonts w:ascii="Times New Roman" w:hAnsi="Times New Roman"/>
          <w:sz w:val="20"/>
        </w:rPr>
      </w:pPr>
      <w:r>
        <w:rPr>
          <w:rFonts w:ascii="Times New Roman" w:hAnsi="Times New Roman"/>
          <w:sz w:val="20"/>
        </w:rPr>
        <w:t xml:space="preserve">(ii) If (A) clinical development of Borrower’s product candidate Vonaprument for the treatment of Geographic Atrophy is halted or discontinued, or the clinical development of such product candidate is generally (any indication) halted or discontinued, or such product candidate receives a Complete Response Letter from the U.S. Food and Durg Administration, and (B) clinical development of Borrower’s product candidate Tanruprubart for the treatment of Guillain-Barré Syndrome is halted or discontinued, or the clinical development of such product candidate is generally (any indication) halted or discontinued or such product candidate receives a Complete Response Letter from the U.S. Food and Durg Administration, then the Cash Covenant Applicable Percentage shall automatically become [**]% through the Maturity Date. </w:t>
      </w:r>
    </w:p>
    <w:p>
      <w:pPr>
        <w:pStyle w:val="TextBody"/>
        <w:bidi w:val="0"/>
        <w:spacing w:before="240" w:after="0"/>
        <w:jc w:val="left"/>
        <w:rPr/>
      </w:pPr>
      <w:r>
        <w:rPr/>
        <w:t>“</w:t>
      </w:r>
      <w:r>
        <w:rPr>
          <w:rFonts w:ascii="Times New Roman" w:hAnsi="Times New Roman"/>
          <w:b/>
          <w:sz w:val="20"/>
        </w:rPr>
        <w:t>Cash Covenant Commencement Date</w:t>
      </w:r>
      <w:r>
        <w:rPr>
          <w:rFonts w:ascii="Times New Roman" w:hAnsi="Times New Roman"/>
          <w:sz w:val="20"/>
        </w:rPr>
        <w:t xml:space="preserve">” is (i) March 31, 2027, if the Equity Event does not occur, and (ii) September 30, 2027, if the Equity Event occurs. </w:t>
      </w:r>
    </w:p>
    <w:p>
      <w:pPr>
        <w:pStyle w:val="TextBody"/>
        <w:bidi w:val="0"/>
        <w:spacing w:before="240" w:after="0"/>
        <w:jc w:val="left"/>
        <w:rPr/>
      </w:pPr>
      <w:r>
        <w:rPr/>
        <w:t>“</w:t>
      </w:r>
      <w:r>
        <w:rPr>
          <w:rFonts w:ascii="Times New Roman" w:hAnsi="Times New Roman"/>
          <w:b/>
          <w:sz w:val="20"/>
        </w:rPr>
        <w:t>Cash Covenant Springing Date</w:t>
      </w:r>
      <w:r>
        <w:rPr>
          <w:rFonts w:ascii="Times New Roman" w:hAnsi="Times New Roman"/>
          <w:sz w:val="20"/>
        </w:rPr>
        <w:t xml:space="preserve">” is the first date on which any of the events described in clause (c) of the definition of “Cash Covenant Applicable Percentage” occur. </w:t>
      </w:r>
    </w:p>
    <w:p>
      <w:pPr>
        <w:pStyle w:val="TextBody"/>
        <w:bidi w:val="0"/>
        <w:spacing w:before="240" w:after="0"/>
        <w:jc w:val="left"/>
        <w:rPr/>
      </w:pPr>
      <w:r>
        <w:rPr/>
        <w:t>“</w:t>
      </w:r>
      <w:r>
        <w:rPr>
          <w:rFonts w:ascii="Times New Roman" w:hAnsi="Times New Roman"/>
          <w:b/>
          <w:sz w:val="20"/>
        </w:rPr>
        <w:t>Claims</w:t>
      </w:r>
      <w:r>
        <w:rPr>
          <w:rFonts w:ascii="Times New Roman" w:hAnsi="Times New Roman"/>
          <w:sz w:val="20"/>
        </w:rPr>
        <w:t xml:space="preserve">” are defined in Section 12.2. </w:t>
      </w:r>
    </w:p>
    <w:p>
      <w:pPr>
        <w:pStyle w:val="TextBody"/>
        <w:bidi w:val="0"/>
        <w:spacing w:before="240" w:after="0"/>
        <w:jc w:val="left"/>
        <w:rPr/>
      </w:pPr>
      <w:r>
        <w:rPr/>
        <w:t>“</w:t>
      </w:r>
      <w:r>
        <w:rPr>
          <w:rFonts w:ascii="Times New Roman" w:hAnsi="Times New Roman"/>
          <w:b/>
          <w:sz w:val="20"/>
        </w:rPr>
        <w:t>CME Term SOFR Administrator</w:t>
      </w:r>
      <w:r>
        <w:rPr>
          <w:rFonts w:ascii="Times New Roman" w:hAnsi="Times New Roman"/>
          <w:sz w:val="20"/>
        </w:rPr>
        <w:t xml:space="preserve">” is CME Group Benchmark Administration Limited, as administrator of the forward-looking term SOFR, or any successor administrator.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CME Term SOFR Administrator’s Website</w:t>
      </w:r>
      <w:r>
        <w:rPr>
          <w:rFonts w:ascii="Times New Roman" w:hAnsi="Times New Roman"/>
          <w:sz w:val="20"/>
        </w:rPr>
        <w:t>” is the website of the CME Group Benchmark Administrator at </w:t>
      </w:r>
      <w:r>
        <w:rPr>
          <w:rFonts w:ascii="Times New Roman" w:hAnsi="Times New Roman"/>
          <w:sz w:val="20"/>
          <w:u w:val="single"/>
        </w:rPr>
        <w:t>http://www.cmegroup.com</w:t>
      </w:r>
      <w:r>
        <w:rPr>
          <w:rFonts w:ascii="Times New Roman" w:hAnsi="Times New Roman"/>
          <w:sz w:val="20"/>
        </w:rPr>
        <w:t xml:space="preserve">, or any successor source.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 </w:t>
      </w:r>
    </w:p>
    <w:p>
      <w:pPr>
        <w:pStyle w:val="TextBody"/>
        <w:bidi w:val="0"/>
        <w:spacing w:before="240" w:after="0"/>
        <w:jc w:val="left"/>
        <w:rPr/>
      </w:pPr>
      <w:r>
        <w:rPr/>
        <w:t>“</w:t>
      </w:r>
      <w:r>
        <w:rPr>
          <w:rFonts w:ascii="Times New Roman" w:hAnsi="Times New Roman"/>
          <w:b/>
          <w:sz w:val="20"/>
        </w:rPr>
        <w:t>Collateral</w:t>
      </w:r>
      <w:r>
        <w:rPr>
          <w:rFonts w:ascii="Times New Roman" w:hAnsi="Times New Roman"/>
          <w:sz w:val="20"/>
        </w:rPr>
        <w:t xml:space="preserve">” is any and all properties, rights and assets of Borrower described on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Collateral Account</w:t>
      </w:r>
      <w:r>
        <w:rPr>
          <w:rFonts w:ascii="Times New Roman" w:hAnsi="Times New Roman"/>
          <w:sz w:val="20"/>
        </w:rPr>
        <w:t xml:space="preserve">” is any Deposit Account, Securities Account, or Commodity Account, or any other bank account maintained by Borrower at any time other than Excluded Accounts. </w:t>
      </w:r>
    </w:p>
    <w:p>
      <w:pPr>
        <w:pStyle w:val="TextBody"/>
        <w:bidi w:val="0"/>
        <w:spacing w:before="240" w:after="0"/>
        <w:jc w:val="left"/>
        <w:rPr/>
      </w:pPr>
      <w:r>
        <w:rPr/>
        <w:t>“</w:t>
      </w:r>
      <w:r>
        <w:rPr>
          <w:rFonts w:ascii="Times New Roman" w:hAnsi="Times New Roman"/>
          <w:b/>
          <w:sz w:val="20"/>
        </w:rPr>
        <w:t>Collateral Agent</w:t>
      </w:r>
      <w:r>
        <w:rPr>
          <w:rFonts w:ascii="Times New Roman" w:hAnsi="Times New Roman"/>
          <w:sz w:val="20"/>
        </w:rPr>
        <w:t xml:space="preserve">” is, Oxford, not in its individual capacity, but solely in its capacity as agent on behalf of and for the benefit of the Lenders. </w:t>
      </w:r>
    </w:p>
    <w:p>
      <w:pPr>
        <w:pStyle w:val="TextBody"/>
        <w:bidi w:val="0"/>
        <w:spacing w:before="240" w:after="0"/>
        <w:jc w:val="left"/>
        <w:rPr/>
      </w:pPr>
      <w:r>
        <w:rPr/>
        <w:t>“</w:t>
      </w:r>
      <w:r>
        <w:rPr>
          <w:rFonts w:ascii="Times New Roman" w:hAnsi="Times New Roman"/>
          <w:b/>
          <w:sz w:val="20"/>
        </w:rPr>
        <w:t>Commitment Percentage</w:t>
      </w:r>
      <w:r>
        <w:rPr>
          <w:rFonts w:ascii="Times New Roman" w:hAnsi="Times New Roman"/>
          <w:sz w:val="20"/>
        </w:rPr>
        <w:t xml:space="preserve">” is set forth in </w:t>
      </w:r>
      <w:r>
        <w:rPr>
          <w:rFonts w:ascii="Times New Roman" w:hAnsi="Times New Roman"/>
          <w:sz w:val="20"/>
          <w:u w:val="single"/>
        </w:rPr>
        <w:t>Schedule 1.1</w:t>
      </w:r>
      <w:r>
        <w:rPr>
          <w:rFonts w:ascii="Times New Roman" w:hAnsi="Times New Roman"/>
          <w:sz w:val="20"/>
        </w:rPr>
        <w:t xml:space="preserve">, as amended from time to time. </w:t>
      </w:r>
    </w:p>
    <w:p>
      <w:pPr>
        <w:pStyle w:val="TextBody"/>
        <w:bidi w:val="0"/>
        <w:spacing w:before="240" w:after="0"/>
        <w:jc w:val="left"/>
        <w:rPr/>
      </w:pPr>
      <w:r>
        <w:rPr/>
        <w:t>“</w:t>
      </w:r>
      <w:r>
        <w:rPr>
          <w:rFonts w:ascii="Times New Roman" w:hAnsi="Times New Roman"/>
          <w:b/>
          <w:sz w:val="20"/>
        </w:rPr>
        <w:t>Commodity Account</w:t>
      </w:r>
      <w:r>
        <w:rPr>
          <w:rFonts w:ascii="Times New Roman" w:hAnsi="Times New Roman"/>
          <w:sz w:val="20"/>
        </w:rPr>
        <w:t xml:space="preserve">” is any “commodity account”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Communication</w:t>
      </w:r>
      <w:r>
        <w:rPr>
          <w:rFonts w:ascii="Times New Roman" w:hAnsi="Times New Roman"/>
          <w:sz w:val="20"/>
        </w:rPr>
        <w:t xml:space="preserve">” is defined in Section 10. </w:t>
      </w:r>
    </w:p>
    <w:p>
      <w:pPr>
        <w:pStyle w:val="TextBody"/>
        <w:bidi w:val="0"/>
        <w:spacing w:before="240" w:after="0"/>
        <w:jc w:val="left"/>
        <w:rPr/>
      </w:pPr>
      <w:r>
        <w:rPr/>
        <w:t>“</w:t>
      </w:r>
      <w:r>
        <w:rPr>
          <w:rFonts w:ascii="Times New Roman" w:hAnsi="Times New Roman"/>
          <w:b/>
          <w:sz w:val="20"/>
        </w:rPr>
        <w:t>Compliance Certificate</w:t>
      </w:r>
      <w:r>
        <w:rPr>
          <w:rFonts w:ascii="Times New Roman" w:hAnsi="Times New Roman"/>
          <w:sz w:val="20"/>
        </w:rPr>
        <w:t xml:space="preserve">” is that certain certificate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Contingent Obligation</w:t>
      </w:r>
      <w:r>
        <w:rPr>
          <w:rFonts w:ascii="Times New Roman" w:hAnsi="Times New Roman"/>
          <w:sz w:val="20"/>
        </w:rPr>
        <w:t xml:space="preserve">”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 </w:t>
      </w:r>
    </w:p>
    <w:p>
      <w:pPr>
        <w:pStyle w:val="TextBody"/>
        <w:bidi w:val="0"/>
        <w:spacing w:before="240" w:after="0"/>
        <w:jc w:val="left"/>
        <w:rPr/>
      </w:pPr>
      <w:r>
        <w:rPr/>
        <w:t>“</w:t>
      </w:r>
      <w:r>
        <w:rPr>
          <w:rFonts w:ascii="Times New Roman" w:hAnsi="Times New Roman"/>
          <w:b/>
          <w:sz w:val="20"/>
        </w:rPr>
        <w:t>Control Agreement</w:t>
      </w:r>
      <w:r>
        <w:rPr>
          <w:rFonts w:ascii="Times New Roman" w:hAnsi="Times New Roman"/>
          <w:sz w:val="20"/>
        </w:rPr>
        <w:t xml:space="preserve">”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 </w:t>
      </w:r>
    </w:p>
    <w:p>
      <w:pPr>
        <w:pStyle w:val="TextBody"/>
        <w:bidi w:val="0"/>
        <w:spacing w:before="240" w:after="0"/>
        <w:jc w:val="left"/>
        <w:rPr/>
      </w:pPr>
      <w:r>
        <w:rPr/>
        <w:t>“</w:t>
      </w:r>
      <w:r>
        <w:rPr>
          <w:rFonts w:ascii="Times New Roman" w:hAnsi="Times New Roman"/>
          <w:b/>
          <w:sz w:val="20"/>
        </w:rPr>
        <w:t>Copyrights</w:t>
      </w:r>
      <w:r>
        <w:rPr>
          <w:rFonts w:ascii="Times New Roman" w:hAnsi="Times New Roman"/>
          <w:sz w:val="20"/>
        </w:rPr>
        <w:t xml:space="preserve">” are any and all copyright rights, copyright applications, copyright registrations and like protections in each work or authorship and derivative work thereof, whether published or unpublished and whether or not the same also constitutes a trade secret. </w:t>
      </w:r>
    </w:p>
    <w:p>
      <w:pPr>
        <w:pStyle w:val="TextBody"/>
        <w:bidi w:val="0"/>
        <w:spacing w:before="240" w:after="0"/>
        <w:jc w:val="left"/>
        <w:rPr/>
      </w:pPr>
      <w:r>
        <w:rPr/>
        <w:t>“</w:t>
      </w:r>
      <w:r>
        <w:rPr>
          <w:rFonts w:ascii="Times New Roman" w:hAnsi="Times New Roman"/>
          <w:b/>
          <w:sz w:val="20"/>
        </w:rPr>
        <w:t>Credit Extension</w:t>
      </w:r>
      <w:r>
        <w:rPr>
          <w:rFonts w:ascii="Times New Roman" w:hAnsi="Times New Roman"/>
          <w:sz w:val="20"/>
        </w:rPr>
        <w:t xml:space="preserve">” is any Term Loan or any other extension of credit by Collateral Agent or Lenders for Borrower’s benefit.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Default Rate</w:t>
      </w:r>
      <w:r>
        <w:rPr>
          <w:rFonts w:ascii="Times New Roman" w:hAnsi="Times New Roman"/>
          <w:sz w:val="20"/>
        </w:rPr>
        <w:t xml:space="preserve">” is defined in Section 2.3(b). </w:t>
      </w:r>
    </w:p>
    <w:p>
      <w:pPr>
        <w:pStyle w:val="TextBody"/>
        <w:bidi w:val="0"/>
        <w:spacing w:before="240" w:after="0"/>
        <w:jc w:val="left"/>
        <w:rPr/>
      </w:pPr>
      <w:r>
        <w:rPr/>
        <w:t>“</w:t>
      </w:r>
      <w:r>
        <w:rPr>
          <w:rFonts w:ascii="Times New Roman" w:hAnsi="Times New Roman"/>
          <w:b/>
          <w:sz w:val="20"/>
        </w:rPr>
        <w:t>Deposit Account</w:t>
      </w:r>
      <w:r>
        <w:rPr>
          <w:rFonts w:ascii="Times New Roman" w:hAnsi="Times New Roman"/>
          <w:sz w:val="20"/>
        </w:rPr>
        <w:t xml:space="preserve">” is any “deposit account”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Designated Deposit Account</w:t>
      </w:r>
      <w:r>
        <w:rPr>
          <w:rFonts w:ascii="Times New Roman" w:hAnsi="Times New Roman"/>
          <w:sz w:val="20"/>
        </w:rPr>
        <w:t xml:space="preserve">” is Borrower’s deposit account, account number ending in [**] maintained with [**]. </w:t>
      </w:r>
    </w:p>
    <w:p>
      <w:pPr>
        <w:pStyle w:val="TextBody"/>
        <w:bidi w:val="0"/>
        <w:spacing w:before="240" w:after="0"/>
        <w:jc w:val="left"/>
        <w:rPr/>
      </w:pPr>
      <w:r>
        <w:rPr/>
        <w:t>“</w:t>
      </w:r>
      <w:r>
        <w:rPr>
          <w:rFonts w:ascii="Times New Roman" w:hAnsi="Times New Roman"/>
          <w:b/>
          <w:sz w:val="20"/>
        </w:rPr>
        <w:t>Disbursement Letter</w:t>
      </w:r>
      <w:r>
        <w:rPr>
          <w:rFonts w:ascii="Times New Roman" w:hAnsi="Times New Roman"/>
          <w:sz w:val="20"/>
        </w:rPr>
        <w:t xml:space="preserve">” is that certain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Division</w:t>
      </w:r>
      <w:r>
        <w:rPr>
          <w:rFonts w:ascii="Times New Roman" w:hAnsi="Times New Roman"/>
          <w:sz w:val="20"/>
        </w:rPr>
        <w:t xml:space="preserve">”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 </w:t>
      </w:r>
    </w:p>
    <w:p>
      <w:pPr>
        <w:pStyle w:val="TextBody"/>
        <w:bidi w:val="0"/>
        <w:spacing w:before="240" w:after="0"/>
        <w:jc w:val="left"/>
        <w:rPr/>
      </w:pPr>
      <w:r>
        <w:rPr/>
        <w:t>“</w:t>
      </w:r>
      <w:r>
        <w:rPr>
          <w:rFonts w:ascii="Times New Roman" w:hAnsi="Times New Roman"/>
          <w:b/>
          <w:sz w:val="20"/>
        </w:rPr>
        <w:t>Dollars</w:t>
      </w:r>
      <w:r>
        <w:rPr>
          <w:rFonts w:ascii="Times New Roman" w:hAnsi="Times New Roman"/>
          <w:i/>
          <w:sz w:val="20"/>
        </w:rPr>
        <w:t>,</w:t>
      </w:r>
      <w:r>
        <w:rPr>
          <w:rFonts w:ascii="Times New Roman" w:hAnsi="Times New Roman"/>
          <w:sz w:val="20"/>
        </w:rPr>
        <w:t>” “</w:t>
      </w:r>
      <w:r>
        <w:rPr>
          <w:rFonts w:ascii="Times New Roman" w:hAnsi="Times New Roman"/>
          <w:b/>
          <w:sz w:val="20"/>
        </w:rPr>
        <w:t>dollars</w:t>
      </w:r>
      <w:r>
        <w:rPr>
          <w:rFonts w:ascii="Times New Roman" w:hAnsi="Times New Roman"/>
          <w:sz w:val="20"/>
        </w:rPr>
        <w:t xml:space="preserve">” and “$” each mean lawful money of the United States.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xml:space="preserve">” is defined in the preamble of this Agreement. </w:t>
      </w:r>
    </w:p>
    <w:p>
      <w:pPr>
        <w:pStyle w:val="TextBody"/>
        <w:bidi w:val="0"/>
        <w:spacing w:before="240" w:after="0"/>
        <w:jc w:val="left"/>
        <w:rPr/>
      </w:pPr>
      <w:r>
        <w:rPr/>
        <w:t>“</w:t>
      </w:r>
      <w:r>
        <w:rPr>
          <w:rFonts w:ascii="Times New Roman" w:hAnsi="Times New Roman"/>
          <w:b/>
          <w:sz w:val="20"/>
        </w:rPr>
        <w:t>Eligible Assignee</w:t>
      </w:r>
      <w:r>
        <w:rPr>
          <w:rFonts w:ascii="Times New Roman" w:hAnsi="Times New Roman"/>
          <w:sz w:val="20"/>
        </w:rPr>
        <w:t xml:space="preserve">”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 </w:t>
      </w:r>
    </w:p>
    <w:p>
      <w:pPr>
        <w:pStyle w:val="TextBody"/>
        <w:bidi w:val="0"/>
        <w:spacing w:before="240" w:after="0"/>
        <w:jc w:val="left"/>
        <w:rPr/>
      </w:pPr>
      <w:r>
        <w:rPr/>
        <w:t>“</w:t>
      </w:r>
      <w:r>
        <w:rPr>
          <w:rFonts w:ascii="Times New Roman" w:hAnsi="Times New Roman"/>
          <w:b/>
          <w:sz w:val="20"/>
        </w:rPr>
        <w:t>Equipment</w:t>
      </w:r>
      <w:r>
        <w:rPr>
          <w:rFonts w:ascii="Times New Roman" w:hAnsi="Times New Roman"/>
          <w:sz w:val="20"/>
        </w:rPr>
        <w:t xml:space="preserve">” is all “equipment” as defined in the Code with such additions to such term as may hereafter be made, and includes without limitation all machinery, fixtures, goods, vehicles (including motor vehicles and trailers), and any interest in any of the foregoing. </w:t>
      </w:r>
    </w:p>
    <w:p>
      <w:pPr>
        <w:pStyle w:val="TextBody"/>
        <w:bidi w:val="0"/>
        <w:spacing w:before="240" w:after="0"/>
        <w:jc w:val="left"/>
        <w:rPr/>
      </w:pPr>
      <w:r>
        <w:rPr/>
        <w:t>“</w:t>
      </w:r>
      <w:r>
        <w:rPr>
          <w:rFonts w:ascii="Times New Roman" w:hAnsi="Times New Roman"/>
          <w:b/>
          <w:sz w:val="20"/>
        </w:rPr>
        <w:t>Equity Event</w:t>
      </w:r>
      <w:r>
        <w:rPr>
          <w:rFonts w:ascii="Times New Roman" w:hAnsi="Times New Roman"/>
          <w:sz w:val="20"/>
        </w:rPr>
        <w:t xml:space="preserve">” is the receipt by Borrower on or after the Effective Date and on or before March 31, 2027 of unrestricted cash proceeds of not less than Two Hundred Million Dollars ($200,000,000.00) from the issuance and sale by Borrower of its equity securities.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is the Employee Retirement Income Security Act of 1974, as amended, and its regulations.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is defined in Section 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Excluded Account</w:t>
      </w:r>
      <w:r>
        <w:rPr>
          <w:rFonts w:ascii="Times New Roman" w:hAnsi="Times New Roman"/>
          <w:sz w:val="20"/>
        </w:rPr>
        <w:t xml:space="preserve">” means (a) deposit accounts exclusively used for payroll, payroll taxes and other employee wage and benefit payments to or for the benefit of Borrower’s, or any of its Subsidiaries’, employees and identified to Collateral Agent by Borrower as such in the Perfection Certificates, and (b) cash collateral accounts holding exclusively cash collateral subject to a Permitted Lien and in such amounts as permitted to be subject to the applicable Permitted Lien. </w:t>
      </w:r>
    </w:p>
    <w:p>
      <w:pPr>
        <w:pStyle w:val="TextBody"/>
        <w:bidi w:val="0"/>
        <w:spacing w:before="240" w:after="0"/>
        <w:jc w:val="left"/>
        <w:rPr/>
      </w:pPr>
      <w:r>
        <w:rPr/>
        <w:t>“</w:t>
      </w:r>
      <w:r>
        <w:rPr>
          <w:rFonts w:ascii="Times New Roman" w:hAnsi="Times New Roman"/>
          <w:b/>
          <w:sz w:val="20"/>
        </w:rPr>
        <w:t>Excluded Foreign Subsidiary</w:t>
      </w:r>
      <w:r>
        <w:rPr>
          <w:rFonts w:ascii="Times New Roman" w:hAnsi="Times New Roman"/>
          <w:sz w:val="20"/>
        </w:rPr>
        <w:t xml:space="preserve">” means, any Subsidiary of Borrower, at any date of determination, (a) that is a “controlled foreign corporation” as defined in Section 957 of the IRC, (b) that is a direct or indirect Subsidiary of a “controlled foreign corporation” as defined in Section 957 of the IRC, or (c) substantially all of the assets of which are Shares in one or more “controlled foreign corporations” as defined in Section 957 of the IRC. </w:t>
      </w:r>
    </w:p>
    <w:p>
      <w:pPr>
        <w:pStyle w:val="TextBody"/>
        <w:bidi w:val="0"/>
        <w:spacing w:before="240" w:after="0"/>
        <w:jc w:val="left"/>
        <w:rPr/>
      </w:pPr>
      <w:r>
        <w:rPr/>
        <w:t>“</w:t>
      </w:r>
      <w:r>
        <w:rPr>
          <w:rFonts w:ascii="Times New Roman" w:hAnsi="Times New Roman"/>
          <w:b/>
          <w:sz w:val="20"/>
        </w:rPr>
        <w:t>Final Payment</w:t>
      </w:r>
      <w:r>
        <w:rPr>
          <w:rFonts w:ascii="Times New Roman" w:hAnsi="Times New Roman"/>
          <w:sz w:val="20"/>
        </w:rPr>
        <w:t xml:space="preserve">” is a payment (in addition to and not a substitution for the regular monthly payments of principal plus accrued interest) due on the earliest to occur of (a) the Maturity Date, or (b) the acceleration of any Term Loan, or (c) the prepayment of a Term Loan pursuant to Section 2.2(c) or (d), equal to the original principal amount of such Term Loan multiplied by the Final Payment Percentage, payable to Lenders in accordance with their respective Pro Rata Shares. For the avoidance of doubt, the calculation of any Final Payment shall not include the principal amount prepaid in accordance with Section 2.2(d)(ii) if a Final Payment based on such principal amount so prepaid was made at the time of such prepayment. </w:t>
      </w:r>
    </w:p>
    <w:p>
      <w:pPr>
        <w:pStyle w:val="TextBody"/>
        <w:bidi w:val="0"/>
        <w:spacing w:before="240" w:after="0"/>
        <w:jc w:val="left"/>
        <w:rPr/>
      </w:pPr>
      <w:r>
        <w:rPr/>
        <w:t>“</w:t>
      </w:r>
      <w:r>
        <w:rPr>
          <w:rFonts w:ascii="Times New Roman" w:hAnsi="Times New Roman"/>
          <w:b/>
          <w:sz w:val="20"/>
        </w:rPr>
        <w:t>Final Payment Percentage</w:t>
      </w:r>
      <w:r>
        <w:rPr>
          <w:rFonts w:ascii="Times New Roman" w:hAnsi="Times New Roman"/>
          <w:sz w:val="20"/>
        </w:rPr>
        <w:t xml:space="preserve">” has the meaning given to it in the Side Letter Agreement. </w:t>
      </w:r>
    </w:p>
    <w:p>
      <w:pPr>
        <w:pStyle w:val="TextBody"/>
        <w:bidi w:val="0"/>
        <w:spacing w:before="240" w:after="0"/>
        <w:jc w:val="left"/>
        <w:rPr/>
      </w:pPr>
      <w:r>
        <w:rPr/>
        <w:t>“</w:t>
      </w:r>
      <w:r>
        <w:rPr>
          <w:rFonts w:ascii="Times New Roman" w:hAnsi="Times New Roman"/>
          <w:b/>
          <w:sz w:val="20"/>
        </w:rPr>
        <w:t>Foreign Subsidiary</w:t>
      </w:r>
      <w:r>
        <w:rPr>
          <w:rFonts w:ascii="Times New Roman" w:hAnsi="Times New Roman"/>
          <w:sz w:val="20"/>
        </w:rPr>
        <w:t xml:space="preserve">” is a Subsidiary that is not an entity organized under the laws of the United States or any territory thereof. </w:t>
      </w:r>
    </w:p>
    <w:p>
      <w:pPr>
        <w:pStyle w:val="TextBody"/>
        <w:bidi w:val="0"/>
        <w:spacing w:before="240" w:after="0"/>
        <w:jc w:val="left"/>
        <w:rPr/>
      </w:pPr>
      <w:r>
        <w:rPr/>
        <w:t>“</w:t>
      </w:r>
      <w:r>
        <w:rPr>
          <w:rFonts w:ascii="Times New Roman" w:hAnsi="Times New Roman"/>
          <w:b/>
          <w:sz w:val="20"/>
        </w:rPr>
        <w:t>Fourth Draw Period</w:t>
      </w:r>
      <w:r>
        <w:rPr>
          <w:rFonts w:ascii="Times New Roman" w:hAnsi="Times New Roman"/>
          <w:sz w:val="20"/>
        </w:rPr>
        <w:t xml:space="preserve">” is the period commencing on the date on which Borrower achieves the Fourth Draw Period Commencement Event and ending on the earlier of (i) the date that is ninety (90) days immediately following the achievement of the Fourth Draw Period Commencement Event, (ii) December 31, 2028 and (iii) the occurrence of an Event of Default; provided, however, that the Fourth Draw Period shall not commence if on the date of the occurrence of the Fourth Draw Period Commencement Event an Event of Default has occurred and is continuing. </w:t>
      </w:r>
    </w:p>
    <w:p>
      <w:pPr>
        <w:pStyle w:val="TextBody"/>
        <w:bidi w:val="0"/>
        <w:spacing w:before="240" w:after="0"/>
        <w:jc w:val="left"/>
        <w:rPr/>
      </w:pPr>
      <w:r>
        <w:rPr/>
        <w:t>“</w:t>
      </w:r>
      <w:r>
        <w:rPr>
          <w:rFonts w:ascii="Times New Roman" w:hAnsi="Times New Roman"/>
          <w:b/>
          <w:sz w:val="20"/>
        </w:rPr>
        <w:t>Fourth Draw Period Commencement Event</w:t>
      </w:r>
      <w:r>
        <w:rPr>
          <w:rFonts w:ascii="Times New Roman" w:hAnsi="Times New Roman"/>
          <w:sz w:val="20"/>
        </w:rPr>
        <w:t xml:space="preserve">” is the occurrence of the following on or prior to December 31, 2028: receipt by Borrower of the final approval from U.S. Food and Drug Administration for Borrower’s Biologics License Application for the use of Borrower’s product candidate Vonaprument in the treatment of Geographic Atrophy. </w:t>
      </w:r>
    </w:p>
    <w:p>
      <w:pPr>
        <w:pStyle w:val="TextBody"/>
        <w:bidi w:val="0"/>
        <w:spacing w:before="240" w:after="0"/>
        <w:jc w:val="left"/>
        <w:rPr/>
      </w:pPr>
      <w:r>
        <w:rPr/>
        <w:t>“</w:t>
      </w:r>
      <w:r>
        <w:rPr>
          <w:rFonts w:ascii="Times New Roman" w:hAnsi="Times New Roman"/>
          <w:b/>
          <w:sz w:val="20"/>
        </w:rPr>
        <w:t>Funding Date</w:t>
      </w:r>
      <w:r>
        <w:rPr>
          <w:rFonts w:ascii="Times New Roman" w:hAnsi="Times New Roman"/>
          <w:sz w:val="20"/>
        </w:rPr>
        <w:t xml:space="preserve">” is any date on which a Credit Extension is made to or on account of Borrower which shall be a Business Day.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 </w:t>
      </w:r>
    </w:p>
    <w:p>
      <w:pPr>
        <w:pStyle w:val="TextBody"/>
        <w:bidi w:val="0"/>
        <w:spacing w:before="240" w:after="0"/>
        <w:jc w:val="left"/>
        <w:rPr/>
      </w:pPr>
      <w:r>
        <w:rPr/>
        <w:t>“</w:t>
      </w:r>
      <w:r>
        <w:rPr>
          <w:rFonts w:ascii="Times New Roman" w:hAnsi="Times New Roman"/>
          <w:b/>
          <w:sz w:val="20"/>
        </w:rPr>
        <w:t>General Intangibles</w:t>
      </w:r>
      <w:r>
        <w:rPr>
          <w:rFonts w:ascii="Times New Roman" w:hAnsi="Times New Roman"/>
          <w:sz w:val="20"/>
        </w:rPr>
        <w:t xml:space="preserve">”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Governmental Approval</w:t>
      </w:r>
      <w:r>
        <w:rPr>
          <w:rFonts w:ascii="Times New Roman" w:hAnsi="Times New Roman"/>
          <w:sz w:val="20"/>
        </w:rPr>
        <w:t xml:space="preserve">” is any consent, authorization, approval, order, license, franchise, permit, certificate, accreditation, registration, filing or notice, of, issued by, from or to, or other act by or in respect of, any Governmental Authority.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w:t>
      </w:r>
    </w:p>
    <w:p>
      <w:pPr>
        <w:pStyle w:val="TextBody"/>
        <w:bidi w:val="0"/>
        <w:spacing w:before="240" w:after="0"/>
        <w:jc w:val="left"/>
        <w:rPr/>
      </w:pPr>
      <w:r>
        <w:rPr/>
        <w:t>“</w:t>
      </w:r>
      <w:r>
        <w:rPr>
          <w:rFonts w:ascii="Times New Roman" w:hAnsi="Times New Roman"/>
          <w:b/>
          <w:sz w:val="20"/>
        </w:rPr>
        <w:t>Guarantor</w:t>
      </w:r>
      <w:r>
        <w:rPr>
          <w:rFonts w:ascii="Times New Roman" w:hAnsi="Times New Roman"/>
          <w:sz w:val="20"/>
        </w:rPr>
        <w:t xml:space="preserve">” is any Person providing a Guaranty in favor of Collateral Agent. </w:t>
      </w:r>
    </w:p>
    <w:p>
      <w:pPr>
        <w:pStyle w:val="TextBody"/>
        <w:bidi w:val="0"/>
        <w:spacing w:before="240" w:after="0"/>
        <w:jc w:val="left"/>
        <w:rPr/>
      </w:pPr>
      <w:r>
        <w:rPr/>
        <w:t>“</w:t>
      </w:r>
      <w:r>
        <w:rPr>
          <w:rFonts w:ascii="Times New Roman" w:hAnsi="Times New Roman"/>
          <w:b/>
          <w:sz w:val="20"/>
        </w:rPr>
        <w:t>Guaranty</w:t>
      </w:r>
      <w:r>
        <w:rPr>
          <w:rFonts w:ascii="Times New Roman" w:hAnsi="Times New Roman"/>
          <w:sz w:val="20"/>
        </w:rPr>
        <w:t xml:space="preserve">” is any guarantee of all or any part of the Obligations, as the same may from time to time be amended, restated, modified or otherwise supplemented.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 </w:t>
      </w:r>
    </w:p>
    <w:p>
      <w:pPr>
        <w:pStyle w:val="TextBody"/>
        <w:bidi w:val="0"/>
        <w:spacing w:before="240" w:after="0"/>
        <w:jc w:val="left"/>
        <w:rPr/>
      </w:pPr>
      <w:r>
        <w:rPr/>
        <w:t>“</w:t>
      </w:r>
      <w:r>
        <w:rPr>
          <w:rFonts w:ascii="Times New Roman" w:hAnsi="Times New Roman"/>
          <w:b/>
          <w:sz w:val="20"/>
        </w:rPr>
        <w:t>Indemnified Person</w:t>
      </w:r>
      <w:r>
        <w:rPr>
          <w:rFonts w:ascii="Times New Roman" w:hAnsi="Times New Roman"/>
          <w:sz w:val="20"/>
        </w:rPr>
        <w:t xml:space="preserve">” is defined in Section 12.2. </w:t>
      </w:r>
    </w:p>
    <w:p>
      <w:pPr>
        <w:pStyle w:val="TextBody"/>
        <w:bidi w:val="0"/>
        <w:spacing w:before="240" w:after="0"/>
        <w:jc w:val="left"/>
        <w:rPr/>
      </w:pPr>
      <w:r>
        <w:rPr/>
        <w:t>“</w:t>
      </w:r>
      <w:r>
        <w:rPr>
          <w:rFonts w:ascii="Times New Roman" w:hAnsi="Times New Roman"/>
          <w:b/>
          <w:sz w:val="20"/>
        </w:rPr>
        <w:t>Insolvency Proceeding</w:t>
      </w:r>
      <w:r>
        <w:rPr>
          <w:rFonts w:ascii="Times New Roman" w:hAnsi="Times New Roman"/>
          <w:sz w:val="20"/>
        </w:rPr>
        <w:t xml:space="preserve">”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 </w:t>
      </w:r>
    </w:p>
    <w:p>
      <w:pPr>
        <w:pStyle w:val="TextBody"/>
        <w:bidi w:val="0"/>
        <w:spacing w:before="240" w:after="0"/>
        <w:jc w:val="left"/>
        <w:rPr/>
      </w:pPr>
      <w:r>
        <w:rPr/>
        <w:t>“</w:t>
      </w:r>
      <w:r>
        <w:rPr>
          <w:rFonts w:ascii="Times New Roman" w:hAnsi="Times New Roman"/>
          <w:b/>
          <w:sz w:val="20"/>
        </w:rPr>
        <w:t>Insolvent</w:t>
      </w:r>
      <w:r>
        <w:rPr>
          <w:rFonts w:ascii="Times New Roman" w:hAnsi="Times New Roman"/>
          <w:sz w:val="20"/>
        </w:rPr>
        <w:t xml:space="preserve">” means not Solvent.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means all of Borrower’s or any Subsidiary’s right, title and interest in and to the following: </w:t>
      </w:r>
    </w:p>
    <w:p>
      <w:pPr>
        <w:pStyle w:val="TextBody"/>
        <w:bidi w:val="0"/>
        <w:spacing w:before="240" w:after="0"/>
        <w:jc w:val="left"/>
        <w:rPr>
          <w:rFonts w:ascii="Times New Roman" w:hAnsi="Times New Roman"/>
          <w:sz w:val="20"/>
        </w:rPr>
      </w:pPr>
      <w:r>
        <w:rPr>
          <w:rFonts w:ascii="Times New Roman" w:hAnsi="Times New Roman"/>
          <w:sz w:val="20"/>
        </w:rPr>
        <w:t xml:space="preserve">(d) its Copyrights, Trademarks and Patents; </w:t>
      </w:r>
    </w:p>
    <w:p>
      <w:pPr>
        <w:pStyle w:val="TextBody"/>
        <w:bidi w:val="0"/>
        <w:spacing w:before="120" w:after="0"/>
        <w:jc w:val="left"/>
        <w:rPr>
          <w:rFonts w:ascii="Times New Roman" w:hAnsi="Times New Roman"/>
          <w:sz w:val="20"/>
        </w:rPr>
      </w:pPr>
      <w:r>
        <w:rPr>
          <w:rFonts w:ascii="Times New Roman" w:hAnsi="Times New Roman"/>
          <w:sz w:val="20"/>
        </w:rPr>
        <w:t xml:space="preserve">(e) any and all trade secrets and trade secret rights, including, without limitation, any rights to unpatented inventions, know-how, operating manuals; </w:t>
      </w:r>
    </w:p>
    <w:p>
      <w:pPr>
        <w:pStyle w:val="TextBody"/>
        <w:bidi w:val="0"/>
        <w:spacing w:before="120" w:after="0"/>
        <w:jc w:val="left"/>
        <w:rPr>
          <w:rFonts w:ascii="Times New Roman" w:hAnsi="Times New Roman"/>
          <w:sz w:val="20"/>
        </w:rPr>
      </w:pPr>
      <w:r>
        <w:rPr>
          <w:rFonts w:ascii="Times New Roman" w:hAnsi="Times New Roman"/>
          <w:sz w:val="20"/>
        </w:rPr>
        <w:t xml:space="preserve">(f) any and all source code; </w:t>
      </w:r>
    </w:p>
    <w:p>
      <w:pPr>
        <w:pStyle w:val="TextBody"/>
        <w:bidi w:val="0"/>
        <w:spacing w:before="120" w:after="0"/>
        <w:jc w:val="left"/>
        <w:rPr>
          <w:rFonts w:ascii="Times New Roman" w:hAnsi="Times New Roman"/>
          <w:sz w:val="20"/>
        </w:rPr>
      </w:pPr>
      <w:r>
        <w:rPr>
          <w:rFonts w:ascii="Times New Roman" w:hAnsi="Times New Roman"/>
          <w:sz w:val="20"/>
        </w:rPr>
        <w:t xml:space="preserve">(g) any and all design rights which may be available to Borrower; </w:t>
      </w:r>
    </w:p>
    <w:p>
      <w:pPr>
        <w:pStyle w:val="TextBody"/>
        <w:bidi w:val="0"/>
        <w:spacing w:before="120" w:after="0"/>
        <w:jc w:val="left"/>
        <w:rPr>
          <w:rFonts w:ascii="Times New Roman" w:hAnsi="Times New Roman"/>
          <w:sz w:val="20"/>
        </w:rPr>
      </w:pPr>
      <w:r>
        <w:rPr>
          <w:rFonts w:ascii="Times New Roman" w:hAnsi="Times New Roman"/>
          <w:sz w:val="20"/>
        </w:rPr>
        <w:t xml:space="preserve">(h) any and all claims for damages by way of past, present and future infringement of any of the foregoing, with the right, but not the obligation, to sue for and collect such damages for said use or infringement of the Intellectual Property rights identified above; and </w:t>
      </w:r>
    </w:p>
    <w:p>
      <w:pPr>
        <w:pStyle w:val="TextBody"/>
        <w:bidi w:val="0"/>
        <w:spacing w:before="120" w:after="0"/>
        <w:jc w:val="left"/>
        <w:rPr>
          <w:rFonts w:ascii="Times New Roman" w:hAnsi="Times New Roman"/>
          <w:sz w:val="20"/>
        </w:rPr>
      </w:pPr>
      <w:r>
        <w:rPr>
          <w:rFonts w:ascii="Times New Roman" w:hAnsi="Times New Roman"/>
          <w:sz w:val="20"/>
        </w:rPr>
        <w:t xml:space="preserve">(i) all amendments, renewals and extensions of any of the Copyrights, Trademarks or Patents. </w:t>
      </w:r>
    </w:p>
    <w:p>
      <w:pPr>
        <w:pStyle w:val="TextBody"/>
        <w:bidi w:val="0"/>
        <w:spacing w:before="240" w:after="0"/>
        <w:jc w:val="left"/>
        <w:rPr/>
      </w:pPr>
      <w:r>
        <w:rPr/>
        <w:t>“</w:t>
      </w:r>
      <w:r>
        <w:rPr>
          <w:rFonts w:ascii="Times New Roman" w:hAnsi="Times New Roman"/>
          <w:b/>
          <w:sz w:val="20"/>
        </w:rPr>
        <w:t>Inventory</w:t>
      </w:r>
      <w:r>
        <w:rPr>
          <w:rFonts w:ascii="Times New Roman" w:hAnsi="Times New Roman"/>
          <w:sz w:val="20"/>
        </w:rPr>
        <w:t xml:space="preserve">”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 </w:t>
      </w:r>
    </w:p>
    <w:p>
      <w:pPr>
        <w:pStyle w:val="TextBody"/>
        <w:bidi w:val="0"/>
        <w:spacing w:before="240" w:after="0"/>
        <w:jc w:val="left"/>
        <w:rPr/>
      </w:pPr>
      <w:r>
        <w:rPr/>
        <w:t>“</w:t>
      </w:r>
      <w:r>
        <w:rPr>
          <w:rFonts w:ascii="Times New Roman" w:hAnsi="Times New Roman"/>
          <w:b/>
          <w:sz w:val="20"/>
        </w:rPr>
        <w:t>Investment</w:t>
      </w:r>
      <w:r>
        <w:rPr>
          <w:rFonts w:ascii="Times New Roman" w:hAnsi="Times New Roman"/>
          <w:sz w:val="20"/>
        </w:rPr>
        <w:t xml:space="preserve">” is any beneficial ownership interest in any Person (including stock, partnership interest or other securities), and any loan, advance or capital contribution to any Person. </w:t>
      </w:r>
    </w:p>
    <w:p>
      <w:pPr>
        <w:pStyle w:val="TextBody"/>
        <w:bidi w:val="0"/>
        <w:spacing w:before="240" w:after="0"/>
        <w:jc w:val="left"/>
        <w:rPr/>
      </w:pPr>
      <w:r>
        <w:rPr/>
        <w:t>“</w:t>
      </w:r>
      <w:r>
        <w:rPr>
          <w:rFonts w:ascii="Times New Roman" w:hAnsi="Times New Roman"/>
          <w:b/>
          <w:sz w:val="20"/>
        </w:rPr>
        <w:t>IP</w:t>
      </w:r>
      <w:r>
        <w:rPr>
          <w:rFonts w:ascii="Times New Roman" w:hAnsi="Times New Roman"/>
          <w:sz w:val="20"/>
        </w:rPr>
        <w:t> </w:t>
      </w:r>
      <w:r>
        <w:rPr>
          <w:rFonts w:ascii="Times New Roman" w:hAnsi="Times New Roman"/>
          <w:b/>
          <w:sz w:val="20"/>
        </w:rPr>
        <w:t>Agreement</w:t>
      </w:r>
      <w:r>
        <w:rPr>
          <w:rFonts w:ascii="Times New Roman" w:hAnsi="Times New Roman"/>
          <w:sz w:val="20"/>
        </w:rPr>
        <w:t xml:space="preserve">” is that certain Intellectual Property Security Agreement entered into by and between Borrower and Collateral Agent dated as of the Effective Date, as such may be amended from time to time.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IRC</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Key Person</w:t>
      </w:r>
      <w:r>
        <w:rPr>
          <w:rFonts w:ascii="Times New Roman" w:hAnsi="Times New Roman"/>
          <w:sz w:val="20"/>
        </w:rPr>
        <w:t xml:space="preserve">” is each of Borrower’s (i) Chief Executive Officer, who is Douglas Love as of the Effective Date, (ii) Chief Financial Officer, who is Jennifer Lew as of the Effective Date and (iii) Chief Science Officer, who is Rick Artis as of the Effective Date. </w:t>
      </w:r>
    </w:p>
    <w:p>
      <w:pPr>
        <w:pStyle w:val="TextBody"/>
        <w:bidi w:val="0"/>
        <w:spacing w:before="240" w:after="0"/>
        <w:jc w:val="left"/>
        <w:rPr/>
      </w:pPr>
      <w:r>
        <w:rPr/>
        <w:t>“</w:t>
      </w:r>
      <w:r>
        <w:rPr>
          <w:rFonts w:ascii="Times New Roman" w:hAnsi="Times New Roman"/>
          <w:b/>
          <w:sz w:val="20"/>
        </w:rPr>
        <w:t>Lender</w:t>
      </w:r>
      <w:r>
        <w:rPr>
          <w:rFonts w:ascii="Times New Roman" w:hAnsi="Times New Roman"/>
          <w:sz w:val="20"/>
        </w:rPr>
        <w:t xml:space="preserve">” is any one of the Lenders. </w:t>
      </w:r>
    </w:p>
    <w:p>
      <w:pPr>
        <w:pStyle w:val="TextBody"/>
        <w:bidi w:val="0"/>
        <w:spacing w:before="240" w:after="0"/>
        <w:jc w:val="left"/>
        <w:rPr/>
      </w:pPr>
      <w:r>
        <w:rPr/>
        <w:t>“</w:t>
      </w:r>
      <w:r>
        <w:rPr>
          <w:rFonts w:ascii="Times New Roman" w:hAnsi="Times New Roman"/>
          <w:b/>
          <w:sz w:val="20"/>
        </w:rPr>
        <w:t>Lenders</w:t>
      </w:r>
      <w:r>
        <w:rPr>
          <w:rFonts w:ascii="Times New Roman" w:hAnsi="Times New Roman"/>
          <w:sz w:val="20"/>
        </w:rPr>
        <w:t xml:space="preserve">” are the Persons identified on </w:t>
      </w:r>
      <w:r>
        <w:rPr>
          <w:rFonts w:ascii="Times New Roman" w:hAnsi="Times New Roman"/>
          <w:sz w:val="20"/>
          <w:u w:val="single"/>
        </w:rPr>
        <w:t>Schedule 1.1</w:t>
      </w:r>
      <w:r>
        <w:rPr>
          <w:rFonts w:ascii="Times New Roman" w:hAnsi="Times New Roman"/>
          <w:sz w:val="20"/>
        </w:rPr>
        <w:t xml:space="preserve"> hereto and each assignee that becomes a party to this Agreement pursuant to Section 12.1. </w:t>
      </w:r>
    </w:p>
    <w:p>
      <w:pPr>
        <w:pStyle w:val="TextBody"/>
        <w:bidi w:val="0"/>
        <w:spacing w:before="240" w:after="0"/>
        <w:jc w:val="left"/>
        <w:rPr/>
      </w:pPr>
      <w:r>
        <w:rPr/>
        <w:t>“</w:t>
      </w:r>
      <w:r>
        <w:rPr>
          <w:rFonts w:ascii="Times New Roman" w:hAnsi="Times New Roman"/>
          <w:b/>
          <w:sz w:val="20"/>
        </w:rPr>
        <w:t>Lenders’ Expenses</w:t>
      </w:r>
      <w:r>
        <w:rPr>
          <w:rFonts w:ascii="Times New Roman" w:hAnsi="Times New Roman"/>
          <w:sz w:val="20"/>
        </w:rPr>
        <w:t xml:space="preserve">” are all reasonable and documented audit fees and expenses, costs, and expenses (including reasonable and documented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is a claim, mortgage, deed of trust, levy, charge, pledge, security interest, or other encumbrance of any kind, whether voluntarily incurred or arising by operation of law or otherwise against any property. </w:t>
      </w:r>
    </w:p>
    <w:p>
      <w:pPr>
        <w:pStyle w:val="TextBody"/>
        <w:bidi w:val="0"/>
        <w:spacing w:before="240" w:after="0"/>
        <w:jc w:val="left"/>
        <w:rPr/>
      </w:pPr>
      <w:r>
        <w:rPr/>
        <w:t>“</w:t>
      </w:r>
      <w:r>
        <w:rPr>
          <w:rFonts w:ascii="Times New Roman" w:hAnsi="Times New Roman"/>
          <w:b/>
          <w:sz w:val="20"/>
        </w:rPr>
        <w:t>Loan Documents</w:t>
      </w:r>
      <w:r>
        <w:rPr>
          <w:rFonts w:ascii="Times New Roman" w:hAnsi="Times New Roman"/>
          <w:sz w:val="20"/>
        </w:rPr>
        <w:t xml:space="preserve">” are, collectively, this Agreement, the Perfection Certificates, each Compliance Certificate, each Disbursement Letter, the IP Agreement, the Side Letter Agreement, the Post Closing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 </w:t>
      </w:r>
    </w:p>
    <w:p>
      <w:pPr>
        <w:pStyle w:val="TextBody"/>
        <w:bidi w:val="0"/>
        <w:spacing w:before="240" w:after="0"/>
        <w:jc w:val="left"/>
        <w:rPr/>
      </w:pPr>
      <w:r>
        <w:rPr/>
        <w:t>“</w:t>
      </w:r>
      <w:r>
        <w:rPr>
          <w:rFonts w:ascii="Times New Roman" w:hAnsi="Times New Roman"/>
          <w:b/>
          <w:sz w:val="20"/>
        </w:rPr>
        <w:t>Market Capitalization</w:t>
      </w:r>
      <w:r>
        <w:rPr>
          <w:rFonts w:ascii="Times New Roman" w:hAnsi="Times New Roman"/>
          <w:sz w:val="20"/>
        </w:rPr>
        <w:t xml:space="preserve">” means, for any given date of determination, an amount equal to (a) the price of Borrower’s common equity securities as reported at the end of such Revenue Testing Date or actual reporting date per Sections 6.2(a)(i) and 6.2(b) (or, for any Revenue Testing Date or actual reporting date that is not a Trading Day, the most recently ended Trading Day prior to such Revenue Testing Date or actual reporting date) multiplied by (b) the total number of issued and outstanding shares of Borrower’s common equity securities (including pre-funded warrants) that are issued and outstanding on the date of the determination and listed on the Principal Stock Exchange, subject to appropriate adjustment for any stock dividend, stock split, stock combination, reclassification or other similar transaction during the applicable calculation period. </w:t>
      </w:r>
    </w:p>
    <w:p>
      <w:pPr>
        <w:pStyle w:val="TextBody"/>
        <w:bidi w:val="0"/>
        <w:spacing w:before="240" w:after="0"/>
        <w:jc w:val="left"/>
        <w:rPr/>
      </w:pPr>
      <w:r>
        <w:rPr/>
        <w:t>“</w:t>
      </w:r>
      <w:r>
        <w:rPr>
          <w:rFonts w:ascii="Times New Roman" w:hAnsi="Times New Roman"/>
          <w:b/>
          <w:sz w:val="20"/>
        </w:rPr>
        <w:t>Market Disruption Event</w:t>
      </w:r>
      <w:r>
        <w:rPr>
          <w:rFonts w:ascii="Times New Roman" w:hAnsi="Times New Roman"/>
          <w:sz w:val="20"/>
        </w:rPr>
        <w:t xml:space="preserve">” means any of the following events: (a) any suspension of, or limitation imposed on, trading by the Principal Stock Exchange in shares of common equity securities of Borrower during any period or periods aggregating one hour or longer and whether by reason of movements in price exceeding limits permitted by the Principal Stock Exchange or otherwise relating to the common equity securities of Borrower; or (b) the failure to open of the exchange or quotation system on which the common equity securities of Borrower are traded or the closure of such exchange or quotation system prior to its respective scheduled closing time for the regular trading session on such day (without regard to after hours or other trading outside the regular trading session hours). </w:t>
      </w:r>
    </w:p>
    <w:p>
      <w:pPr>
        <w:pStyle w:val="TextBody"/>
        <w:bidi w:val="0"/>
        <w:spacing w:before="240" w:after="0"/>
        <w:jc w:val="left"/>
        <w:rPr/>
      </w:pPr>
      <w:r>
        <w:rPr/>
        <w:t>“</w:t>
      </w:r>
      <w:r>
        <w:rPr>
          <w:rFonts w:ascii="Times New Roman" w:hAnsi="Times New Roman"/>
          <w:b/>
          <w:sz w:val="20"/>
        </w:rPr>
        <w:t>Material Adverse Change</w:t>
      </w:r>
      <w:r>
        <w:rPr>
          <w:rFonts w:ascii="Times New Roman" w:hAnsi="Times New Roman"/>
          <w:sz w:val="20"/>
        </w:rPr>
        <w:t xml:space="preserve">” is (a) a material impairment in the perfection or priority of Collateral Agent’s Lien in the Collateral or in the value of such Collateral; (b) a material adverse change in the business, operations or condition (financial or otherwise)of Borrower or of Borrower and its Subsidiaries taken as a whole; or (c) a material impairment of the prospect of repayment of any portion of the Obligations; provided that the occurrence of the following, individually, shall not, in and of itself, constitute a Material Adverse Change: (i) the delay or limitation or qualification of approval of the FDA, or other regulatory agency, with respect to any proposed drug or other Borrower products, or (ii) any revisions to or termination of license arrangement maintained by Borrower, so long as the same does not affect the ability of Borrower to perform or pay the Obligations in accordance with the terms of the Loan Documents.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Maturity Date</w:t>
      </w:r>
      <w:r>
        <w:rPr>
          <w:rFonts w:ascii="Times New Roman" w:hAnsi="Times New Roman"/>
          <w:sz w:val="20"/>
        </w:rPr>
        <w:t xml:space="preserve">” is, for each Term Loan, (i) July 1, 2031, and (ii) July 1, 2032, if the Amortization Date is September 1, 2031. </w:t>
      </w:r>
    </w:p>
    <w:p>
      <w:pPr>
        <w:pStyle w:val="TextBody"/>
        <w:bidi w:val="0"/>
        <w:spacing w:before="240" w:after="0"/>
        <w:jc w:val="left"/>
        <w:rPr/>
      </w:pPr>
      <w:r>
        <w:rPr/>
        <w:t>“</w:t>
      </w:r>
      <w:r>
        <w:rPr>
          <w:rFonts w:ascii="Times New Roman" w:hAnsi="Times New Roman"/>
          <w:b/>
          <w:sz w:val="20"/>
        </w:rPr>
        <w:t>Net Product Revenue</w:t>
      </w:r>
      <w:r>
        <w:rPr>
          <w:rFonts w:ascii="Times New Roman" w:hAnsi="Times New Roman"/>
          <w:sz w:val="20"/>
        </w:rPr>
        <w:t xml:space="preserve">” means, for any period of determination, Borrower’s consolidated net product revenue (as determined in accordance with GAAP), including sales-based royalty revenue (regardless of whether such payments are included as product revenue as determined in accordance with GAAP). </w:t>
      </w:r>
    </w:p>
    <w:p>
      <w:pPr>
        <w:pStyle w:val="TextBody"/>
        <w:bidi w:val="0"/>
        <w:spacing w:before="240" w:after="0"/>
        <w:jc w:val="left"/>
        <w:rPr/>
      </w:pPr>
      <w:r>
        <w:rPr/>
        <w:t>“</w:t>
      </w:r>
      <w:r>
        <w:rPr>
          <w:rFonts w:ascii="Times New Roman" w:hAnsi="Times New Roman"/>
          <w:b/>
          <w:sz w:val="20"/>
        </w:rPr>
        <w:t>Net Product</w:t>
      </w:r>
      <w:r>
        <w:rPr>
          <w:rFonts w:ascii="Times New Roman" w:hAnsi="Times New Roman"/>
          <w:sz w:val="20"/>
        </w:rPr>
        <w:t xml:space="preserve"> </w:t>
      </w:r>
      <w:r>
        <w:rPr>
          <w:rFonts w:ascii="Times New Roman" w:hAnsi="Times New Roman"/>
          <w:b/>
          <w:sz w:val="20"/>
        </w:rPr>
        <w:t>Revenue Forecast</w:t>
      </w:r>
      <w:r>
        <w:rPr>
          <w:rFonts w:ascii="Times New Roman" w:hAnsi="Times New Roman"/>
          <w:sz w:val="20"/>
        </w:rPr>
        <w:t xml:space="preserve">” is Borrower’s quarterly projection of total Net Product Revenue for not fewer than the first six (6) fiscal quarters following the projected first commercial launch in the US of (i) Tanruprubart for the treatment of Guillain-Barré Syndrome or (ii) Vonaprument for the treatment of Geographic Atrophy.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are all of Borrower’s obligations to pay when due any debts, principal, interest, Lenders’ Expenses, the Prepayment Fee, the Final Payment, and other amounts Borrower owes the Lenders now or later, in connection with, related to, following, or arising from, out of or under, this Agreement or, the other Loan Documents, or otherwise, and including interest accruing after Insolvency Proceedings begin (whether or not allowed) and debts, liabilities, or obligations of Borrower assigned to the Lenders and/or Collateral Agent, and the performance of Borrower’s duties under the Loan Documents. </w:t>
      </w:r>
    </w:p>
    <w:p>
      <w:pPr>
        <w:pStyle w:val="TextBody"/>
        <w:bidi w:val="0"/>
        <w:spacing w:before="240" w:after="0"/>
        <w:jc w:val="left"/>
        <w:rPr/>
      </w:pPr>
      <w:r>
        <w:rPr/>
        <w:t>“</w:t>
      </w:r>
      <w:r>
        <w:rPr>
          <w:rFonts w:ascii="Times New Roman" w:hAnsi="Times New Roman"/>
          <w:b/>
          <w:sz w:val="20"/>
        </w:rPr>
        <w:t>OFAC</w:t>
      </w:r>
      <w:r>
        <w:rPr>
          <w:rFonts w:ascii="Times New Roman" w:hAnsi="Times New Roman"/>
          <w:sz w:val="20"/>
        </w:rPr>
        <w:t xml:space="preserve">” is the U.S. Department of Treasury Office of Foreign Assets Control. </w:t>
      </w:r>
    </w:p>
    <w:p>
      <w:pPr>
        <w:pStyle w:val="TextBody"/>
        <w:bidi w:val="0"/>
        <w:spacing w:before="240" w:after="0"/>
        <w:jc w:val="left"/>
        <w:rPr/>
      </w:pPr>
      <w:r>
        <w:rPr/>
        <w:t>“</w:t>
      </w:r>
      <w:r>
        <w:rPr>
          <w:rFonts w:ascii="Times New Roman" w:hAnsi="Times New Roman"/>
          <w:b/>
          <w:sz w:val="20"/>
        </w:rPr>
        <w:t>OFAC Lists</w:t>
      </w:r>
      <w:r>
        <w:rPr>
          <w:rFonts w:ascii="Times New Roman" w:hAnsi="Times New Roman"/>
          <w:sz w:val="20"/>
        </w:rPr>
        <w:t xml:space="preserve">”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 </w:t>
      </w:r>
    </w:p>
    <w:p>
      <w:pPr>
        <w:pStyle w:val="TextBody"/>
        <w:bidi w:val="0"/>
        <w:spacing w:before="240" w:after="0"/>
        <w:jc w:val="left"/>
        <w:rPr/>
      </w:pPr>
      <w:r>
        <w:rPr/>
        <w:t>“</w:t>
      </w:r>
      <w:r>
        <w:rPr>
          <w:rFonts w:ascii="Times New Roman" w:hAnsi="Times New Roman"/>
          <w:b/>
          <w:sz w:val="20"/>
        </w:rPr>
        <w:t>Operating Documents</w:t>
      </w:r>
      <w:r>
        <w:rPr>
          <w:rFonts w:ascii="Times New Roman" w:hAnsi="Times New Roman"/>
          <w:sz w:val="20"/>
        </w:rPr>
        <w:t xml:space="preserve">”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 </w:t>
      </w:r>
    </w:p>
    <w:p>
      <w:pPr>
        <w:pStyle w:val="TextBody"/>
        <w:bidi w:val="0"/>
        <w:spacing w:before="240" w:after="0"/>
        <w:jc w:val="left"/>
        <w:rPr/>
      </w:pPr>
      <w:r>
        <w:rPr/>
        <w:t>“</w:t>
      </w:r>
      <w:r>
        <w:rPr>
          <w:rFonts w:ascii="Times New Roman" w:hAnsi="Times New Roman"/>
          <w:b/>
          <w:sz w:val="20"/>
        </w:rPr>
        <w:t>Patents</w:t>
      </w:r>
      <w:r>
        <w:rPr>
          <w:rFonts w:ascii="Times New Roman" w:hAnsi="Times New Roman"/>
          <w:sz w:val="20"/>
        </w:rPr>
        <w:t xml:space="preserve">” means all patents, patent applications and like protections including without limitation improvements, divisions, continuations, renewals, reissues, extensions and continuations-in-part of the same. </w:t>
      </w:r>
    </w:p>
    <w:p>
      <w:pPr>
        <w:pStyle w:val="TextBody"/>
        <w:bidi w:val="0"/>
        <w:spacing w:before="240" w:after="0"/>
        <w:jc w:val="left"/>
        <w:rPr/>
      </w:pPr>
      <w:r>
        <w:rPr/>
        <w:t>“</w:t>
      </w:r>
      <w:r>
        <w:rPr>
          <w:rFonts w:ascii="Times New Roman" w:hAnsi="Times New Roman"/>
          <w:b/>
          <w:sz w:val="20"/>
        </w:rPr>
        <w:t>Payment Date</w:t>
      </w:r>
      <w:r>
        <w:rPr>
          <w:rFonts w:ascii="Times New Roman" w:hAnsi="Times New Roman"/>
          <w:sz w:val="20"/>
        </w:rPr>
        <w:t xml:space="preserve">” is the first (1st) calendar day of each calendar month, commencing on September 1, 2026. </w:t>
      </w:r>
    </w:p>
    <w:p>
      <w:pPr>
        <w:pStyle w:val="TextBody"/>
        <w:bidi w:val="0"/>
        <w:spacing w:before="240" w:after="0"/>
        <w:jc w:val="left"/>
        <w:rPr/>
      </w:pPr>
      <w:r>
        <w:rPr/>
        <w:t>“</w:t>
      </w:r>
      <w:r>
        <w:rPr>
          <w:rFonts w:ascii="Times New Roman" w:hAnsi="Times New Roman"/>
          <w:b/>
          <w:sz w:val="20"/>
        </w:rPr>
        <w:t>Perfection Certificate</w:t>
      </w:r>
      <w:r>
        <w:rPr>
          <w:rFonts w:ascii="Times New Roman" w:hAnsi="Times New Roman"/>
          <w:sz w:val="20"/>
        </w:rPr>
        <w:t>” and “</w:t>
      </w:r>
      <w:r>
        <w:rPr>
          <w:rFonts w:ascii="Times New Roman" w:hAnsi="Times New Roman"/>
          <w:b/>
          <w:sz w:val="20"/>
        </w:rPr>
        <w:t>Perfection Certificates</w:t>
      </w:r>
      <w:r>
        <w:rPr>
          <w:rFonts w:ascii="Times New Roman" w:hAnsi="Times New Roman"/>
          <w:sz w:val="20"/>
        </w:rPr>
        <w:t xml:space="preserve">” is defined in Section 5.1. </w:t>
      </w:r>
    </w:p>
    <w:p>
      <w:pPr>
        <w:pStyle w:val="TextBody"/>
        <w:bidi w:val="0"/>
        <w:spacing w:before="240" w:after="0"/>
        <w:jc w:val="left"/>
        <w:rPr/>
      </w:pPr>
      <w:r>
        <w:rPr/>
        <w:t>“</w:t>
      </w:r>
      <w:r>
        <w:rPr>
          <w:rFonts w:ascii="Times New Roman" w:hAnsi="Times New Roman"/>
          <w:b/>
          <w:sz w:val="20"/>
        </w:rPr>
        <w:t>Permitted Indebtedness</w:t>
      </w:r>
      <w:r>
        <w:rPr>
          <w:rFonts w:ascii="Times New Roman" w:hAnsi="Times New Roman"/>
          <w:sz w:val="20"/>
        </w:rPr>
        <w:t xml:space="preserve">” is: </w:t>
      </w:r>
    </w:p>
    <w:p>
      <w:pPr>
        <w:pStyle w:val="TextBody"/>
        <w:bidi w:val="0"/>
        <w:spacing w:before="240" w:after="0"/>
        <w:jc w:val="left"/>
        <w:rPr>
          <w:rFonts w:ascii="Times New Roman" w:hAnsi="Times New Roman"/>
          <w:sz w:val="20"/>
        </w:rPr>
      </w:pPr>
      <w:r>
        <w:rPr>
          <w:rFonts w:ascii="Times New Roman" w:hAnsi="Times New Roman"/>
          <w:sz w:val="20"/>
        </w:rPr>
        <w:t xml:space="preserve">(a) Borrower’s Indebtedness to the Lenders and Collateral Agent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Indebtedness existing on the Effective Date and disclosed on the Perfection Certificate(s); </w:t>
      </w:r>
    </w:p>
    <w:p>
      <w:pPr>
        <w:pStyle w:val="TextBody"/>
        <w:bidi w:val="0"/>
        <w:spacing w:before="240" w:after="0"/>
        <w:jc w:val="left"/>
        <w:rPr>
          <w:rFonts w:ascii="Times New Roman" w:hAnsi="Times New Roman"/>
          <w:sz w:val="20"/>
        </w:rPr>
      </w:pPr>
      <w:r>
        <w:rPr>
          <w:rFonts w:ascii="Times New Roman" w:hAnsi="Times New Roman"/>
          <w:sz w:val="20"/>
        </w:rPr>
        <w:t xml:space="preserve">(c) Subordinated Debt; </w:t>
      </w:r>
    </w:p>
    <w:p>
      <w:pPr>
        <w:pStyle w:val="TextBody"/>
        <w:bidi w:val="0"/>
        <w:spacing w:before="240" w:after="0"/>
        <w:jc w:val="left"/>
        <w:rPr>
          <w:rFonts w:ascii="Times New Roman" w:hAnsi="Times New Roman"/>
          <w:sz w:val="20"/>
        </w:rPr>
      </w:pPr>
      <w:r>
        <w:rPr>
          <w:rFonts w:ascii="Times New Roman" w:hAnsi="Times New Roman"/>
          <w:sz w:val="20"/>
        </w:rPr>
        <w:t xml:space="preserve">(d) unsecured Indebtedness to trade creditors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 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Five Hundred Thousand Dollars ($500,000.00)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Indebtedness incurred as a result of endorsing negotiable instruments received in the ordinary course of Borrower’s business; </w:t>
      </w:r>
    </w:p>
    <w:p>
      <w:pPr>
        <w:pStyle w:val="TextBody"/>
        <w:bidi w:val="0"/>
        <w:spacing w:before="240" w:after="0"/>
        <w:jc w:val="left"/>
        <w:rPr>
          <w:rFonts w:ascii="Times New Roman" w:hAnsi="Times New Roman"/>
          <w:sz w:val="20"/>
        </w:rPr>
      </w:pPr>
      <w:r>
        <w:rPr>
          <w:rFonts w:ascii="Times New Roman" w:hAnsi="Times New Roman"/>
          <w:sz w:val="20"/>
        </w:rPr>
        <w:t>(g) unsecured Indebtedness incurred in connection with Borrower’s credit cards with other financial institutions in an aggregate principal amount not to exceed $500,000.00 (the “</w:t>
      </w:r>
      <w:r>
        <w:rPr>
          <w:rFonts w:ascii="Times New Roman" w:hAnsi="Times New Roman"/>
          <w:b/>
          <w:sz w:val="20"/>
        </w:rPr>
        <w:t>Permitted Credit Cards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to the extent constituting Indebtedness, Permitted Investments; </w:t>
      </w:r>
    </w:p>
    <w:p>
      <w:pPr>
        <w:pStyle w:val="TextBody"/>
        <w:bidi w:val="0"/>
        <w:spacing w:before="240" w:after="0"/>
        <w:jc w:val="left"/>
        <w:rPr>
          <w:rFonts w:ascii="Times New Roman" w:hAnsi="Times New Roman"/>
          <w:sz w:val="20"/>
        </w:rPr>
      </w:pPr>
      <w:r>
        <w:rPr>
          <w:rFonts w:ascii="Times New Roman" w:hAnsi="Times New Roman"/>
          <w:sz w:val="20"/>
        </w:rPr>
        <w:t xml:space="preserve">(i) other unsecured Indebtedness not to exceed $500,000.00 in the aggregate outstanding at any time; </w:t>
      </w:r>
    </w:p>
    <w:p>
      <w:pPr>
        <w:pStyle w:val="TextBody"/>
        <w:bidi w:val="0"/>
        <w:spacing w:before="240" w:after="0"/>
        <w:jc w:val="left"/>
        <w:rPr>
          <w:rFonts w:ascii="Times New Roman" w:hAnsi="Times New Roman"/>
          <w:sz w:val="20"/>
        </w:rPr>
      </w:pPr>
      <w:r>
        <w:rPr>
          <w:rFonts w:ascii="Times New Roman" w:hAnsi="Times New Roman"/>
          <w:sz w:val="20"/>
        </w:rPr>
        <w:t>(j) Indebtedness consisting of letters of credit in an aggregate principal amount outstanding not to exceed $500,000.00 at any time (the “</w:t>
      </w:r>
      <w:r>
        <w:rPr>
          <w:rFonts w:ascii="Times New Roman" w:hAnsi="Times New Roman"/>
          <w:b/>
          <w:sz w:val="20"/>
        </w:rPr>
        <w:t>Permitted 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Indebtedness incurred as part of Permitted Royalty Financing; </w:t>
      </w:r>
    </w:p>
    <w:p>
      <w:pPr>
        <w:pStyle w:val="TextBody"/>
        <w:bidi w:val="0"/>
        <w:spacing w:before="240" w:after="0"/>
        <w:jc w:val="left"/>
        <w:rPr>
          <w:rFonts w:ascii="Times New Roman" w:hAnsi="Times New Roman"/>
          <w:sz w:val="20"/>
        </w:rPr>
      </w:pPr>
      <w:r>
        <w:rPr>
          <w:rFonts w:ascii="Times New Roman" w:hAnsi="Times New Roman"/>
          <w:sz w:val="20"/>
        </w:rPr>
        <w:t xml:space="preserve">(l) intercompany Indebtedness between or among the Borrower and its Subsidiaries, provided that such Indebtedness is unsecured and permitted as a Permitted Investment; </w:t>
      </w:r>
    </w:p>
    <w:p>
      <w:pPr>
        <w:pStyle w:val="TextBody"/>
        <w:bidi w:val="0"/>
        <w:spacing w:before="240" w:after="0"/>
        <w:jc w:val="left"/>
        <w:rPr>
          <w:rFonts w:ascii="Times New Roman" w:hAnsi="Times New Roman"/>
          <w:sz w:val="20"/>
        </w:rPr>
      </w:pPr>
      <w:r>
        <w:rPr>
          <w:rFonts w:ascii="Times New Roman" w:hAnsi="Times New Roman"/>
          <w:sz w:val="20"/>
        </w:rPr>
        <w:t xml:space="preserve">(m) Indebtedness in respect of surety bonds and other indemnities and similar obligations up to an aggregate principal amount not to exceed Five Hundred Thousand Dollars ($500,000.00)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(n) indemnity obligations and royalty payments or sale milestones based on net sales incurred pursuant to any Permitted License or any in licensing or any collaboration, co-promotion or co-marketing arrangement incurred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(o) extensions, refinancings, modifications, amendments and restatements of any items of Permitted Indebtedness (a) through (n) above, provided that the principal amount thereof is not increased or the terms thereof are not modified to impose materially more burdensome terms upon Borrower, or its Subsidiary, as the case may be. </w:t>
      </w:r>
    </w:p>
    <w:p>
      <w:pPr>
        <w:pStyle w:val="TextBody"/>
        <w:bidi w:val="0"/>
        <w:spacing w:before="240" w:after="0"/>
        <w:jc w:val="left"/>
        <w:rPr/>
      </w:pPr>
      <w:r>
        <w:rPr/>
        <w:t>“</w:t>
      </w:r>
      <w:r>
        <w:rPr>
          <w:rFonts w:ascii="Times New Roman" w:hAnsi="Times New Roman"/>
          <w:b/>
          <w:sz w:val="20"/>
        </w:rPr>
        <w:t>Permitted Investments</w:t>
      </w:r>
      <w:r>
        <w:rPr>
          <w:rFonts w:ascii="Times New Roman" w:hAnsi="Times New Roman"/>
          <w:sz w:val="20"/>
        </w:rPr>
        <w:t xml:space="preserve">” are: </w:t>
      </w:r>
    </w:p>
    <w:p>
      <w:pPr>
        <w:pStyle w:val="TextBody"/>
        <w:bidi w:val="0"/>
        <w:spacing w:before="240" w:after="0"/>
        <w:jc w:val="left"/>
        <w:rPr>
          <w:rFonts w:ascii="Times New Roman" w:hAnsi="Times New Roman"/>
          <w:sz w:val="20"/>
        </w:rPr>
      </w:pPr>
      <w:r>
        <w:rPr>
          <w:rFonts w:ascii="Times New Roman" w:hAnsi="Times New Roman"/>
          <w:sz w:val="20"/>
        </w:rPr>
        <w:t xml:space="preserve">(a) Investments disclosed on the Perfection Certificate(s) and existing on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(i) Investments consisting of cash and Cash Equivalents held in Borrower’s Collateral Accounts that are maintained in accordance with Section 6.6 of this Agreement, and (ii) any other Investments permitted by Borrower’s investment policy, as amended from time to time, provided that such investment policy (and any such amendment thereto) has been approved by the Borrower’s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(c) Investments consisting of the endorsement of negotiable instruments for deposit or collection or similar transactions in the ordinary course of Borrower; </w:t>
      </w:r>
    </w:p>
    <w:p>
      <w:pPr>
        <w:pStyle w:val="TextBody"/>
        <w:bidi w:val="0"/>
        <w:spacing w:before="240" w:after="0"/>
        <w:jc w:val="left"/>
        <w:rPr>
          <w:rFonts w:ascii="Times New Roman" w:hAnsi="Times New Roman"/>
          <w:sz w:val="20"/>
        </w:rPr>
      </w:pPr>
      <w:r>
        <w:rPr>
          <w:rFonts w:ascii="Times New Roman" w:hAnsi="Times New Roman"/>
          <w:sz w:val="20"/>
        </w:rPr>
        <w:t xml:space="preserve">(d) Investments consisting of (i) deposit accounts in which Collateral Agent has a perfected security interest and (ii) Excluded Accounts; </w:t>
      </w:r>
    </w:p>
    <w:p>
      <w:pPr>
        <w:pStyle w:val="TextBody"/>
        <w:bidi w:val="0"/>
        <w:spacing w:before="240" w:after="0"/>
        <w:jc w:val="left"/>
        <w:rPr>
          <w:rFonts w:ascii="Times New Roman" w:hAnsi="Times New Roman"/>
          <w:sz w:val="20"/>
        </w:rPr>
      </w:pPr>
      <w:r>
        <w:rPr>
          <w:rFonts w:ascii="Times New Roman" w:hAnsi="Times New Roman"/>
          <w:sz w:val="20"/>
        </w:rPr>
        <w:t xml:space="preserve">(e) Investments in connection with Transfers permitted by Section 7.1; </w:t>
      </w:r>
    </w:p>
    <w:p>
      <w:pPr>
        <w:pStyle w:val="TextBody"/>
        <w:bidi w:val="0"/>
        <w:spacing w:before="240" w:after="0"/>
        <w:jc w:val="left"/>
        <w:rPr>
          <w:rFonts w:ascii="Times New Roman" w:hAnsi="Times New Roman"/>
          <w:sz w:val="20"/>
        </w:rPr>
      </w:pPr>
      <w:r>
        <w:rPr>
          <w:rFonts w:ascii="Times New Roman" w:hAnsi="Times New Roman"/>
          <w:sz w:val="20"/>
        </w:rPr>
        <w:t xml:space="preserve">(f) Investments (i) by a Borrower or Guarantor in the Borrower or another Guarantor, and (ii) by Borrower in one or more Subsidiaries that are neither Borrowers nor Guarantors not to exceed Two Hundred Fifty Thousand Dollars ($250,000.00) in the aggregate in any fiscal year;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One Hundred Thousand Dollars ($100,000.00) in the aggregate for (i) and (ii) in any fiscal year; </w:t>
      </w:r>
    </w:p>
    <w:p>
      <w:pPr>
        <w:pStyle w:val="TextBody"/>
        <w:bidi w:val="0"/>
        <w:spacing w:before="240" w:after="0"/>
        <w:jc w:val="left"/>
        <w:rPr>
          <w:rFonts w:ascii="Times New Roman" w:hAnsi="Times New Roman"/>
          <w:sz w:val="20"/>
        </w:rPr>
      </w:pPr>
      <w:r>
        <w:rPr>
          <w:rFonts w:ascii="Times New Roman" w:hAnsi="Times New Roman"/>
          <w:sz w:val="20"/>
        </w:rPr>
        <w:t xml:space="preserve">(h) Investments (including debt obligations) received in connection with the bankruptcy or reorganization of customers or suppliers and in settlement of delinquent obligations of, and other disputes with, customers or suppliers arising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 Investments consisting of notes receivable of, or prepaid royalties and other credit extensions, to customers and suppliers who are not Affiliates, in the ordinary course of business; provided that this paragraph (i) shall not apply to Investments of Borrower in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(j) (i) non-cash Investments in joint ventures or strategic alliances in the ordinary course of Borrower’s business consisting of the non-exclusive licensing of technology, the development of technology or the providing of technical support, and (ii) cash Investments not to exceed Five Hundred Thousand Dollars ($500,000.00) in any fiscal year; and </w:t>
      </w:r>
    </w:p>
    <w:p>
      <w:pPr>
        <w:pStyle w:val="TextBody"/>
        <w:bidi w:val="0"/>
        <w:spacing w:before="240" w:after="0"/>
        <w:jc w:val="left"/>
        <w:rPr>
          <w:rFonts w:ascii="Times New Roman" w:hAnsi="Times New Roman"/>
          <w:sz w:val="20"/>
        </w:rPr>
      </w:pPr>
      <w:r>
        <w:rPr>
          <w:rFonts w:ascii="Times New Roman" w:hAnsi="Times New Roman"/>
          <w:sz w:val="20"/>
        </w:rPr>
        <w:t xml:space="preserve">(k) other Investments not otherwise permitted by the foregoing not exceeding Five Hundred Thousand Dollars ($500,000.00) at any time. </w:t>
      </w:r>
    </w:p>
    <w:p>
      <w:pPr>
        <w:pStyle w:val="TextBody"/>
        <w:bidi w:val="0"/>
        <w:spacing w:before="240" w:after="0"/>
        <w:jc w:val="left"/>
        <w:rPr/>
      </w:pPr>
      <w:r>
        <w:rPr/>
        <w:t>“</w:t>
      </w:r>
      <w:r>
        <w:rPr>
          <w:rFonts w:ascii="Times New Roman" w:hAnsi="Times New Roman"/>
          <w:b/>
          <w:sz w:val="20"/>
        </w:rPr>
        <w:t>Permitted Licenses</w:t>
      </w:r>
      <w:r>
        <w:rPr>
          <w:rFonts w:ascii="Times New Roman" w:hAnsi="Times New Roman"/>
          <w:sz w:val="20"/>
        </w:rPr>
        <w:t xml:space="preserve">” are (A) licenses of over-the-counter software that is commercially available to the public, and (B) non-exclusive and exclusive licenses for the use of the Intellectual Property of Borrower or any of its Subsidiaries entered into in the ordinary course of business, </w:t>
      </w:r>
      <w:r>
        <w:rPr>
          <w:rFonts w:ascii="Times New Roman" w:hAnsi="Times New Roman"/>
          <w:sz w:val="20"/>
          <w:u w:val="single"/>
        </w:rPr>
        <w:t>provided</w:t>
      </w:r>
      <w:r>
        <w:rPr>
          <w:rFonts w:ascii="Times New Roman" w:hAnsi="Times New Roman"/>
          <w:sz w:val="20"/>
        </w:rPr>
        <w:t xml:space="preserve">, that, with respect to each such license described in clause (B), (i) no Event of Default has occurred or is continuing at the time of such license; (ii)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United States; and (iv) all upfront payments, royalties, milestone payments or other proceeds arising from the licensing agreement that are payable to Borrower or any of its Subsidiaries are paid to a Deposit Account that is governed by a Control Agreement.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are: </w:t>
      </w:r>
    </w:p>
    <w:p>
      <w:pPr>
        <w:pStyle w:val="TextBody"/>
        <w:bidi w:val="0"/>
        <w:spacing w:before="240" w:after="0"/>
        <w:jc w:val="left"/>
        <w:rPr>
          <w:rFonts w:ascii="Times New Roman" w:hAnsi="Times New Roman"/>
          <w:sz w:val="20"/>
        </w:rPr>
      </w:pPr>
      <w:r>
        <w:rPr>
          <w:rFonts w:ascii="Times New Roman" w:hAnsi="Times New Roman"/>
          <w:sz w:val="20"/>
        </w:rPr>
        <w:t xml:space="preserve">(a) Liens existing on the Effective Date and disclosed on the Perfection Certificates or arising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Liens for taxes, fees, assessments or other government charges or levies, either (i) not due and payable or (ii) being contested in good faith and for which Borrower maintains adequate reserves on its Books, provided that no notice of any such Lien has been filed or recorded under the IRC, and the Treasury Regulations adopted thereunder; </w:t>
      </w:r>
    </w:p>
    <w:p>
      <w:pPr>
        <w:pStyle w:val="TextBody"/>
        <w:bidi w:val="0"/>
        <w:spacing w:before="240" w:after="0"/>
        <w:jc w:val="left"/>
        <w:rPr>
          <w:rFonts w:ascii="Times New Roman" w:hAnsi="Times New Roman"/>
          <w:sz w:val="20"/>
        </w:rPr>
      </w:pPr>
      <w:r>
        <w:rPr>
          <w:rFonts w:ascii="Times New Roman" w:hAnsi="Times New Roman"/>
          <w:sz w:val="20"/>
        </w:rPr>
        <w:t>(c) liens securing Indebtedness permitted under clause (e) of the definition of “</w:t>
      </w:r>
      <w:r>
        <w:rPr>
          <w:rFonts w:ascii="Times New Roman" w:hAnsi="Times New Roman"/>
          <w:b/>
          <w:sz w:val="20"/>
        </w:rPr>
        <w:t>Permitted Indebtedness</w:t>
      </w:r>
      <w:r>
        <w:rPr>
          <w:rFonts w:ascii="Times New Roman" w:hAnsi="Times New Roman"/>
          <w:sz w:val="20"/>
        </w:rPr>
        <w:t xml:space="preserve">,”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Liens of carriers, warehousemen, suppliers, or other Persons that are possessory in nature arising in the ordinary course of business so long as such Liens attach only to Inventory, securing liabilities in the aggregate amount not to exceed Fifty Thousand Dollars ($50,000.00), and which are not delinquent or remain payable without penalty or which are being contested in good faith and by appropriate proceedings which proceedings have the effect of preventing the forfeiture or sale of the property subject thereto; </w:t>
      </w:r>
    </w:p>
    <w:p>
      <w:pPr>
        <w:pStyle w:val="TextBody"/>
        <w:bidi w:val="0"/>
        <w:spacing w:before="240" w:after="0"/>
        <w:jc w:val="left"/>
        <w:rPr>
          <w:rFonts w:ascii="Times New Roman" w:hAnsi="Times New Roman"/>
          <w:sz w:val="20"/>
        </w:rPr>
      </w:pPr>
      <w:r>
        <w:rPr>
          <w:rFonts w:ascii="Times New Roman" w:hAnsi="Times New Roman"/>
          <w:sz w:val="20"/>
        </w:rPr>
        <w:t xml:space="preserve">(e) Liens to secure payment of workers’ compensation, employment insurance, old-age pensions, social security and other like obligations incurred in the ordinary course of business (other than Liens imposed by ERISA); </w:t>
      </w:r>
    </w:p>
    <w:p>
      <w:pPr>
        <w:pStyle w:val="TextBody"/>
        <w:bidi w:val="0"/>
        <w:spacing w:before="240" w:after="0"/>
        <w:jc w:val="left"/>
        <w:rPr>
          <w:rFonts w:ascii="Times New Roman" w:hAnsi="Times New Roman"/>
          <w:sz w:val="20"/>
        </w:rPr>
      </w:pPr>
      <w:r>
        <w:rPr>
          <w:rFonts w:ascii="Times New Roman" w:hAnsi="Times New Roman"/>
          <w:sz w:val="20"/>
        </w:rPr>
        <w:t xml:space="preserve">(f) Liens incurred in the extension, renewal or refinancing of the indebtedness secured by Liens described in (a) through (c), </w:t>
      </w:r>
      <w:r>
        <w:rPr>
          <w:rFonts w:ascii="Times New Roman" w:hAnsi="Times New Roman"/>
          <w:sz w:val="20"/>
          <w:u w:val="single"/>
        </w:rPr>
        <w:t>but</w:t>
      </w:r>
      <w:r>
        <w:rPr>
          <w:rFonts w:ascii="Times New Roman" w:hAnsi="Times New Roman"/>
          <w:sz w:val="20"/>
        </w:rPr>
        <w:t xml:space="preserve"> any extension, renewal or replacement Lien must be limited to the property encumbered by the existing Lien and the principal amount of the indebtedness may not increase; </w:t>
      </w:r>
    </w:p>
    <w:p>
      <w:pPr>
        <w:pStyle w:val="TextBody"/>
        <w:bidi w:val="0"/>
        <w:spacing w:before="240" w:after="0"/>
        <w:jc w:val="left"/>
        <w:rPr>
          <w:rFonts w:ascii="Times New Roman" w:hAnsi="Times New Roman"/>
          <w:sz w:val="20"/>
        </w:rPr>
      </w:pPr>
      <w:r>
        <w:rPr>
          <w:rFonts w:ascii="Times New Roman" w:hAnsi="Times New Roman"/>
          <w:sz w:val="20"/>
        </w:rPr>
        <w:t xml:space="preserve">(g) 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(h) 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6.6(b) hereof; </w:t>
      </w:r>
    </w:p>
    <w:p>
      <w:pPr>
        <w:pStyle w:val="TextBody"/>
        <w:bidi w:val="0"/>
        <w:spacing w:before="240" w:after="0"/>
        <w:jc w:val="left"/>
        <w:rPr>
          <w:rFonts w:ascii="Times New Roman" w:hAnsi="Times New Roman"/>
          <w:sz w:val="20"/>
        </w:rPr>
      </w:pPr>
      <w:r>
        <w:rPr>
          <w:rFonts w:ascii="Times New Roman" w:hAnsi="Times New Roman"/>
          <w:sz w:val="20"/>
        </w:rPr>
        <w:t xml:space="preserve">(i) Liens arising from judgments, decrees or attachments in circumstances not constituting an Event of Default under Section 8.4 or 8.7; </w:t>
      </w:r>
    </w:p>
    <w:p>
      <w:pPr>
        <w:pStyle w:val="TextBody"/>
        <w:bidi w:val="0"/>
        <w:spacing w:before="240" w:after="0"/>
        <w:jc w:val="left"/>
        <w:rPr>
          <w:rFonts w:ascii="Times New Roman" w:hAnsi="Times New Roman"/>
          <w:sz w:val="20"/>
        </w:rPr>
      </w:pPr>
      <w:r>
        <w:rPr>
          <w:rFonts w:ascii="Times New Roman" w:hAnsi="Times New Roman"/>
          <w:sz w:val="20"/>
        </w:rPr>
        <w:t xml:space="preserve">(j) Liens consisting of Permitted Licenses; </w:t>
      </w:r>
    </w:p>
    <w:p>
      <w:pPr>
        <w:pStyle w:val="TextBody"/>
        <w:bidi w:val="0"/>
        <w:spacing w:before="240" w:after="0"/>
        <w:jc w:val="left"/>
        <w:rPr>
          <w:rFonts w:ascii="Times New Roman" w:hAnsi="Times New Roman"/>
          <w:sz w:val="20"/>
        </w:rPr>
      </w:pPr>
      <w:r>
        <w:rPr>
          <w:rFonts w:ascii="Times New Roman" w:hAnsi="Times New Roman"/>
          <w:sz w:val="20"/>
        </w:rPr>
        <w:t xml:space="preserve">(k) Liens granted to a third party providing Permitted Royalty Financing solely to the extent such Liens consist of (i) Liens on Royalty Interest Collateral, and (ii) solely in connection with a synthetic royalty financing, a first priority Lien on the Royalty Interest Collateral and a second priority lien in all Intellectual Property and other assets that are necessary and material to the research, development, production, manufacturing, commercialization, marketing and distribution of (and obtaining regulatory approvals for) the applicable Product; provided that, in the case of a synthetic royalty financing or a true sale financing in which the third party providing Permitted Royalty Financing has requested a Lien, such Liens are subject to a customary intercreditor agreement between such third party and Collateral Agent, which intercreditor agreement must be in such form and substance as are acceptable to the Collateral Agent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(l) Liens on segregated cash collateral accounts securing letters of credit permitted under “Permitted Indebtedness” for so long as the aggregate amount of in such cash collateral accounts does not exceed the lesser of (x) 105% of the aggregate Indebtedness outstanding under the letters of credit permitted under Permitted Indebtedness, and (y) the Permitted Indebtedness allowed to be incurred pursuant to Permitted Letters of Credit and under clause (b) of “Permitted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(m) Liens in favor of customs and revenue authorities arising as a matter of law to secure payment of custom duties that are promptly paid on or before the date they become due; provided, however, the aggregate amount secured by such Liens does not exceed One Hundred Thousand Dollars ($100,000.00) at any given time; and </w:t>
      </w:r>
    </w:p>
    <w:p>
      <w:pPr>
        <w:pStyle w:val="TextBody"/>
        <w:bidi w:val="0"/>
        <w:spacing w:before="240" w:after="0"/>
        <w:jc w:val="left"/>
        <w:rPr>
          <w:rFonts w:ascii="Times New Roman" w:hAnsi="Times New Roman"/>
          <w:sz w:val="20"/>
        </w:rPr>
      </w:pPr>
      <w:r>
        <w:rPr>
          <w:rFonts w:ascii="Times New Roman" w:hAnsi="Times New Roman"/>
          <w:sz w:val="20"/>
        </w:rPr>
        <w:t xml:space="preserve">(n) Other Liens not to exceed Five Hundred Thousand Dollars ($500,000.00) at any time outstanding.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Permitted Royalty Financing</w:t>
      </w:r>
      <w:r>
        <w:rPr>
          <w:rFonts w:ascii="Times New Roman" w:hAnsi="Times New Roman"/>
          <w:sz w:val="20"/>
        </w:rPr>
        <w:t xml:space="preserve">” is one or more royalty interest agreement(s) (including without limitation a royalty sale or a synthetic royalty financing) between Borrower and a third party for Borrower’s product candidates (i) Vonaprument for the treatment of Geographic Atrophy pursuant to which Borrower would be entitled to payments of unrestricted cash in exchange for a promise to pay future royalties equal to and no greater than [**]% (such percentage shall be calculated in the aggregate inclusive of future royalties owed pursuant to agreements in place on the Effective Date) of the Net Product Revenue received by Borrower from the sale of Vonaprument, and/or (ii) Tanruprubart for the treatment of Guillain-Barré Syndrome pursuant to which Borrower would be entitled to payments of unrestricted cash in exchange for a promise to pay future royalties equal to and no greater than [**]% (such percentage shall be calculated in the aggregate inclusive of future royalties owed pursuant to agreements in place on the Effective Date) of the Net Product Revenue received by Borrower from the sale of Tanruprubart; provided, the party providing such financing shall have entered into an intercreditor agreement with Collateral Agent and Lenders in such form and substance as are acceptable to Collateral Agent and Lenders in their sole discretion. </w:t>
      </w:r>
    </w:p>
    <w:p>
      <w:pPr>
        <w:pStyle w:val="TextBody"/>
        <w:bidi w:val="0"/>
        <w:spacing w:before="240" w:after="0"/>
        <w:jc w:val="left"/>
        <w:rPr/>
      </w:pPr>
      <w:r>
        <w:rPr/>
        <w:t>“</w:t>
      </w:r>
      <w:r>
        <w:rPr>
          <w:rFonts w:ascii="Times New Roman" w:hAnsi="Times New Roman"/>
          <w:b/>
          <w:sz w:val="20"/>
        </w:rPr>
        <w:t>Post Closing Letter</w:t>
      </w:r>
      <w:r>
        <w:rPr>
          <w:rFonts w:ascii="Times New Roman" w:hAnsi="Times New Roman"/>
          <w:sz w:val="20"/>
        </w:rPr>
        <w:t xml:space="preserve">” is that certain Post Closing Letter dated as of the Effective Date by and between Collateral Agent and Borrower.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is any individual, sole proprietorship, partnership, limited liability company, joint venture, company, trust, unincorporated organization, association, corporation, institution, public benefit corporation, firm, joint stock company, estate, entity or government agency. </w:t>
      </w:r>
    </w:p>
    <w:p>
      <w:pPr>
        <w:pStyle w:val="TextBody"/>
        <w:bidi w:val="0"/>
        <w:spacing w:before="240" w:after="0"/>
        <w:jc w:val="left"/>
        <w:rPr/>
      </w:pPr>
      <w:r>
        <w:rPr/>
        <w:t>“</w:t>
      </w:r>
      <w:r>
        <w:rPr>
          <w:rFonts w:ascii="Times New Roman" w:hAnsi="Times New Roman"/>
          <w:b/>
          <w:sz w:val="20"/>
        </w:rPr>
        <w:t>Prepayment Fee</w:t>
      </w:r>
      <w:r>
        <w:rPr>
          <w:rFonts w:ascii="Times New Roman" w:hAnsi="Times New Roman"/>
          <w:sz w:val="20"/>
        </w:rPr>
        <w:t xml:space="preserve">” is, with respect to any Term Loan subject to prepayment prior to the Maturity Date, whether by mandatory or voluntary prepayment, acceleration or otherwise, an additional fee payable to the Lenders in amount equal to: </w:t>
      </w:r>
    </w:p>
    <w:p>
      <w:pPr>
        <w:pStyle w:val="TextBody"/>
        <w:bidi w:val="0"/>
        <w:spacing w:before="240" w:after="0"/>
        <w:jc w:val="left"/>
        <w:rPr>
          <w:rFonts w:ascii="Times New Roman" w:hAnsi="Times New Roman"/>
          <w:sz w:val="20"/>
        </w:rPr>
      </w:pPr>
      <w:r>
        <w:rPr>
          <w:rFonts w:ascii="Times New Roman" w:hAnsi="Times New Roman"/>
          <w:sz w:val="20"/>
        </w:rPr>
        <w:t xml:space="preserve">(i) for a prepayment made on or after the Funding Date of such Term Loan through and including the first anniversary of the Funding Date of such Term Loan, two percent (2.00%) (or one percent (1.00%), if such prepayment is being made because of the bona fide merger or acquisition of Borrower into or by an acquiring entity) of the of the principal amount of such Term Loan prepaid; and </w:t>
      </w:r>
    </w:p>
    <w:p>
      <w:pPr>
        <w:pStyle w:val="TextBody"/>
        <w:bidi w:val="0"/>
        <w:spacing w:before="240" w:after="0"/>
        <w:jc w:val="left"/>
        <w:rPr>
          <w:rFonts w:ascii="Times New Roman" w:hAnsi="Times New Roman"/>
          <w:sz w:val="20"/>
        </w:rPr>
      </w:pPr>
      <w:r>
        <w:rPr>
          <w:rFonts w:ascii="Times New Roman" w:hAnsi="Times New Roman"/>
          <w:sz w:val="20"/>
        </w:rPr>
        <w:t xml:space="preserve">(ii) for a prepayment made after the first anniversary of the Funding Date of such Term Loan and prior to the Maturity Date, one percent (1.00%) of the principal amount of the Term Loans prepaid. </w:t>
      </w:r>
    </w:p>
    <w:p>
      <w:pPr>
        <w:pStyle w:val="TextBody"/>
        <w:bidi w:val="0"/>
        <w:spacing w:before="240" w:after="0"/>
        <w:jc w:val="left"/>
        <w:rPr/>
      </w:pPr>
      <w:r>
        <w:rPr/>
        <w:t>“</w:t>
      </w:r>
      <w:r>
        <w:rPr>
          <w:rFonts w:ascii="Times New Roman" w:hAnsi="Times New Roman"/>
          <w:b/>
          <w:sz w:val="20"/>
        </w:rPr>
        <w:t>Principal Stock Exchange</w:t>
      </w:r>
      <w:r>
        <w:rPr>
          <w:rFonts w:ascii="Times New Roman" w:hAnsi="Times New Roman"/>
          <w:sz w:val="20"/>
        </w:rPr>
        <w:t xml:space="preserve">” means The Nasdaq Stock Market LLC or, if the common equity securities of Borrower are not listed on The Nasdaq Stock Market LLC, the principal national securities exchange or public quotation system on which the common equity securities of Borrower are then listed for trading or quoted. </w:t>
      </w:r>
    </w:p>
    <w:p>
      <w:pPr>
        <w:pStyle w:val="TextBody"/>
        <w:bidi w:val="0"/>
        <w:spacing w:before="240" w:after="0"/>
        <w:jc w:val="left"/>
        <w:rPr/>
      </w:pPr>
      <w:r>
        <w:rPr/>
        <w:t>“</w:t>
      </w:r>
      <w:r>
        <w:rPr>
          <w:rFonts w:ascii="Times New Roman" w:hAnsi="Times New Roman"/>
          <w:b/>
          <w:sz w:val="20"/>
        </w:rPr>
        <w:t>Pro Rata Share</w:t>
      </w:r>
      <w:r>
        <w:rPr>
          <w:rFonts w:ascii="Times New Roman" w:hAnsi="Times New Roman"/>
          <w:sz w:val="20"/>
        </w:rPr>
        <w:t xml:space="preserve">”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 </w:t>
      </w:r>
    </w:p>
    <w:p>
      <w:pPr>
        <w:pStyle w:val="TextBody"/>
        <w:bidi w:val="0"/>
        <w:spacing w:before="240" w:after="0"/>
        <w:jc w:val="left"/>
        <w:rPr/>
      </w:pPr>
      <w:r>
        <w:rPr/>
        <w:t>“</w:t>
      </w:r>
      <w:r>
        <w:rPr>
          <w:rFonts w:ascii="Times New Roman" w:hAnsi="Times New Roman"/>
          <w:b/>
          <w:sz w:val="20"/>
        </w:rPr>
        <w:t>Qualified Cash</w:t>
      </w:r>
      <w:r>
        <w:rPr>
          <w:rFonts w:ascii="Times New Roman" w:hAnsi="Times New Roman"/>
          <w:sz w:val="20"/>
        </w:rPr>
        <w:t xml:space="preserve">” means the amount of Borrower’s unrestricted and unencumbered cash, Cash Equivalents and marketable securities held in Collateral Accounts located in the United States which are subject to Control Agreements in favor of Collateral Agent. </w:t>
      </w:r>
    </w:p>
    <w:p>
      <w:pPr>
        <w:pStyle w:val="TextBody"/>
        <w:bidi w:val="0"/>
        <w:spacing w:before="240" w:after="0"/>
        <w:jc w:val="left"/>
        <w:rPr/>
      </w:pPr>
      <w:r>
        <w:rPr/>
        <w:t>“</w:t>
      </w:r>
      <w:r>
        <w:rPr>
          <w:rFonts w:ascii="Times New Roman" w:hAnsi="Times New Roman"/>
          <w:b/>
          <w:sz w:val="20"/>
        </w:rPr>
        <w:t>Recipient</w:t>
      </w:r>
      <w:r>
        <w:rPr>
          <w:rFonts w:ascii="Times New Roman" w:hAnsi="Times New Roman"/>
          <w:sz w:val="20"/>
        </w:rPr>
        <w:t xml:space="preserve">” means (a) the Collateral Agent, or (b) any Lender, as applicable. </w:t>
      </w:r>
    </w:p>
    <w:p>
      <w:pPr>
        <w:pStyle w:val="TextBody"/>
        <w:bidi w:val="0"/>
        <w:spacing w:before="240" w:after="0"/>
        <w:jc w:val="left"/>
        <w:rPr/>
      </w:pPr>
      <w:r>
        <w:rPr/>
        <w:t>“</w:t>
      </w:r>
      <w:r>
        <w:rPr>
          <w:rFonts w:ascii="Times New Roman" w:hAnsi="Times New Roman"/>
          <w:b/>
          <w:sz w:val="20"/>
        </w:rPr>
        <w:t>Registered Organization</w:t>
      </w:r>
      <w:r>
        <w:rPr>
          <w:rFonts w:ascii="Times New Roman" w:hAnsi="Times New Roman"/>
          <w:sz w:val="20"/>
        </w:rPr>
        <w:t xml:space="preserve">” is any “registered organization”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Required Lenders</w:t>
      </w:r>
      <w:r>
        <w:rPr>
          <w:rFonts w:ascii="Times New Roman" w:hAnsi="Times New Roman"/>
          <w:sz w:val="20"/>
        </w:rPr>
        <w:t>” means (i) for so long as all of the Persons that are Lenders on the Effective Date (each an “</w:t>
      </w:r>
      <w:r>
        <w:rPr>
          <w:rFonts w:ascii="Times New Roman" w:hAnsi="Times New Roman"/>
          <w:b/>
          <w:sz w:val="20"/>
        </w:rPr>
        <w:t>Original Lender</w:t>
      </w:r>
      <w:r>
        <w:rPr>
          <w:rFonts w:ascii="Times New Roman" w:hAnsi="Times New Roman"/>
          <w:sz w:val="20"/>
        </w:rPr>
        <w:t xml:space="preserve">”)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Requirement of Law</w:t>
      </w:r>
      <w:r>
        <w:rPr>
          <w:rFonts w:ascii="Times New Roman" w:hAnsi="Times New Roman"/>
          <w:sz w:val="20"/>
        </w:rPr>
        <w:t xml:space="preserve">”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is any of the President, Chief Executive Officer, or Chief Financial Officer of Borrower acting alone. </w:t>
      </w:r>
    </w:p>
    <w:p>
      <w:pPr>
        <w:pStyle w:val="TextBody"/>
        <w:bidi w:val="0"/>
        <w:spacing w:before="240" w:after="0"/>
        <w:jc w:val="left"/>
        <w:rPr/>
      </w:pPr>
      <w:r>
        <w:rPr/>
        <w:t>“</w:t>
      </w:r>
      <w:r>
        <w:rPr>
          <w:rFonts w:ascii="Times New Roman" w:hAnsi="Times New Roman"/>
          <w:b/>
          <w:sz w:val="20"/>
        </w:rPr>
        <w:t>Revenue Testing Date</w:t>
      </w:r>
      <w:r>
        <w:rPr>
          <w:rFonts w:ascii="Times New Roman" w:hAnsi="Times New Roman"/>
          <w:sz w:val="20"/>
        </w:rPr>
        <w:t xml:space="preserve">” is the last date of each fiscal quarter, beginning with the second full fiscal quarter after Borrower’s achievement of the first to occur of (i) the Third Draw Period Commencement Event or (ii) the Fourth Draw Period Commencement Event. </w:t>
      </w:r>
    </w:p>
    <w:p>
      <w:pPr>
        <w:pStyle w:val="TextBody"/>
        <w:bidi w:val="0"/>
        <w:spacing w:before="240" w:after="0"/>
        <w:jc w:val="left"/>
        <w:rPr/>
      </w:pPr>
      <w:r>
        <w:rPr/>
        <w:t>“</w:t>
      </w:r>
      <w:r>
        <w:rPr>
          <w:rFonts w:ascii="Times New Roman" w:hAnsi="Times New Roman"/>
          <w:b/>
          <w:sz w:val="20"/>
        </w:rPr>
        <w:t>Royalty Interest Collateral</w:t>
      </w:r>
      <w:r>
        <w:rPr>
          <w:rFonts w:ascii="Times New Roman" w:hAnsi="Times New Roman"/>
          <w:sz w:val="20"/>
        </w:rPr>
        <w:t xml:space="preserve">” is all of Borrower’s rights, title and interest in and to (i) the royalties, rights to (or payments with respect to) the royalties or revenues sold, transferred, assigned or otherwise disposed of pursuant to a Permitted Royalty Financing, including the accounts, payment intangibles, instruments, chattel paper, check, money and investment property (each, as defined in Article 9 of the Code) solely to the extent any of the foregoing evidence or constitute any such royalty payment, (ii) any accounts holding exclusively the foregoing amounts, and (iii) all products and proceeds thereof, including cash proceeds and noncash proceeds (each, as defined in Article 9 of the Code). </w:t>
      </w:r>
    </w:p>
    <w:p>
      <w:pPr>
        <w:pStyle w:val="TextBody"/>
        <w:bidi w:val="0"/>
        <w:spacing w:before="240" w:after="0"/>
        <w:jc w:val="left"/>
        <w:rPr/>
      </w:pPr>
      <w:r>
        <w:rPr/>
        <w:t>“</w:t>
      </w:r>
      <w:r>
        <w:rPr>
          <w:rFonts w:ascii="Times New Roman" w:hAnsi="Times New Roman"/>
          <w:b/>
          <w:sz w:val="20"/>
        </w:rPr>
        <w:t>Second Draw Period</w:t>
      </w:r>
      <w:r>
        <w:rPr>
          <w:rFonts w:ascii="Times New Roman" w:hAnsi="Times New Roman"/>
          <w:sz w:val="20"/>
        </w:rPr>
        <w:t xml:space="preserve">” is the period commencing on date on which the Borrower achieves the Second Draw Period Commencement Event and ending on the earlier of (i) the date that is ninety (90) days immediately following the achievement of the Second Draw Period Commencement Event, (ii) September 30, 2027 and (iii) the occurrence of an Event of Default; provided, however, that the Second Draw Period shall not commence if on the date of the occurrence of the Second Draw Period Commencement Event an Event of Default has occurred and is continuing. </w:t>
      </w:r>
    </w:p>
    <w:p>
      <w:pPr>
        <w:pStyle w:val="TextBody"/>
        <w:bidi w:val="0"/>
        <w:spacing w:before="240" w:after="0"/>
        <w:jc w:val="left"/>
        <w:rPr/>
      </w:pPr>
      <w:r>
        <w:rPr/>
        <w:t>“</w:t>
      </w:r>
      <w:r>
        <w:rPr>
          <w:rFonts w:ascii="Times New Roman" w:hAnsi="Times New Roman"/>
          <w:b/>
          <w:sz w:val="20"/>
        </w:rPr>
        <w:t>Second Draw Period Commencement Event</w:t>
      </w:r>
      <w:r>
        <w:rPr>
          <w:rFonts w:ascii="Times New Roman" w:hAnsi="Times New Roman"/>
          <w:sz w:val="20"/>
        </w:rPr>
        <w:t xml:space="preserve">” is the occurrence of the following prior to September 30, 2027: receipt of positive data in the Phase 3 clinical trial of Borrower’s product candidate Vonaprument in Geographic Atrophy demonstrating (i) achievement of the primary endpoint with statistical significance and (ii) a commercially viable product profile as determined by Lenders in their sole but reasonable discretion. </w:t>
      </w:r>
    </w:p>
    <w:p>
      <w:pPr>
        <w:pStyle w:val="TextBody"/>
        <w:bidi w:val="0"/>
        <w:spacing w:before="240" w:after="0"/>
        <w:jc w:val="left"/>
        <w:rPr/>
      </w:pPr>
      <w:r>
        <w:rPr/>
        <w:t>“</w:t>
      </w:r>
      <w:r>
        <w:rPr>
          <w:rFonts w:ascii="Times New Roman" w:hAnsi="Times New Roman"/>
          <w:b/>
          <w:sz w:val="20"/>
        </w:rPr>
        <w:t>Securities Account</w:t>
      </w:r>
      <w:r>
        <w:rPr>
          <w:rFonts w:ascii="Times New Roman" w:hAnsi="Times New Roman"/>
          <w:sz w:val="20"/>
        </w:rPr>
        <w:t xml:space="preserve">” is any “securities account”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is one hundred percent (100%) of the issued and outstanding capital stock, membership units or other securities owned or held of record by Borrower or Borrower’s Subsidiary, in any Subsidiary other than an Excluded Foreign Subsidiary and sixty-five percent (65%) of the issued and outstanding capital stock, membership units or other securities owned or held of record by Borrower or its Subsidiary in any Excluded Foreign Subsidiary. </w:t>
      </w:r>
    </w:p>
    <w:p>
      <w:pPr>
        <w:pStyle w:val="TextBody"/>
        <w:bidi w:val="0"/>
        <w:spacing w:before="240" w:after="0"/>
        <w:jc w:val="left"/>
        <w:rPr/>
      </w:pPr>
      <w:r>
        <w:rPr/>
        <w:t>“</w:t>
      </w:r>
      <w:r>
        <w:rPr>
          <w:rFonts w:ascii="Times New Roman" w:hAnsi="Times New Roman"/>
          <w:b/>
          <w:sz w:val="20"/>
        </w:rPr>
        <w:t>Side Letter Agreement</w:t>
      </w:r>
      <w:r>
        <w:rPr>
          <w:rFonts w:ascii="Times New Roman" w:hAnsi="Times New Roman"/>
          <w:sz w:val="20"/>
        </w:rPr>
        <w:t xml:space="preserve">” is that certain letter agreement entered into by and amongst Lenders and Borrower, entered into as of the Effective Date </w:t>
      </w:r>
    </w:p>
    <w:p>
      <w:pPr>
        <w:pStyle w:val="TextBody"/>
        <w:bidi w:val="0"/>
        <w:spacing w:before="240" w:after="0"/>
        <w:jc w:val="left"/>
        <w:rPr/>
      </w:pPr>
      <w:r>
        <w:rPr/>
        <w:t>“</w:t>
      </w:r>
      <w:r>
        <w:rPr>
          <w:rFonts w:ascii="Times New Roman" w:hAnsi="Times New Roman"/>
          <w:b/>
          <w:sz w:val="20"/>
        </w:rPr>
        <w:t>Solvent</w:t>
      </w:r>
      <w:r>
        <w:rPr>
          <w:rFonts w:ascii="Times New Roman" w:hAnsi="Times New Roman"/>
          <w:sz w:val="20"/>
        </w:rPr>
        <w:t xml:space="preserve">”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w:t>
      </w:r>
    </w:p>
    <w:p>
      <w:pPr>
        <w:pStyle w:val="TextBody"/>
        <w:bidi w:val="0"/>
        <w:spacing w:before="240" w:after="0"/>
        <w:jc w:val="left"/>
        <w:rPr/>
      </w:pPr>
      <w:r>
        <w:rPr/>
        <w:t>“</w:t>
      </w:r>
      <w:r>
        <w:rPr>
          <w:rFonts w:ascii="Times New Roman" w:hAnsi="Times New Roman"/>
          <w:b/>
          <w:sz w:val="20"/>
        </w:rPr>
        <w:t>Subordinated Debt</w:t>
      </w:r>
      <w:r>
        <w:rPr>
          <w:rFonts w:ascii="Times New Roman" w:hAnsi="Times New Roman"/>
          <w:sz w:val="20"/>
        </w:rPr>
        <w:t xml:space="preserve">”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Subsidiary</w:t>
      </w:r>
      <w:r>
        <w:rPr>
          <w:rFonts w:ascii="Times New Roman" w:hAnsi="Times New Roman"/>
          <w:sz w:val="20"/>
        </w:rPr>
        <w:t xml:space="preserve">” is, with respect to any Person, any Person of which more than fifty percent (50%) of the voting stock or other equity interests (in the case of Persons other than corporations) is owned or controlled, directly or indirectly, by such Person or through one or more intermediaries. </w:t>
      </w:r>
    </w:p>
    <w:p>
      <w:pPr>
        <w:pStyle w:val="TextBody"/>
        <w:bidi w:val="0"/>
        <w:spacing w:before="240" w:after="0"/>
        <w:jc w:val="left"/>
        <w:rPr/>
      </w:pPr>
      <w:r>
        <w:rPr/>
        <w:t>“</w:t>
      </w:r>
      <w:r>
        <w:rPr>
          <w:rFonts w:ascii="Times New Roman" w:hAnsi="Times New Roman"/>
          <w:b/>
          <w:sz w:val="20"/>
        </w:rPr>
        <w:t>Term Loan</w:t>
      </w:r>
      <w:r>
        <w:rPr>
          <w:rFonts w:ascii="Times New Roman" w:hAnsi="Times New Roman"/>
          <w:sz w:val="20"/>
        </w:rPr>
        <w:t xml:space="preserve">” is defined in Section 2.2(a)(v) hereof. </w:t>
      </w:r>
    </w:p>
    <w:p>
      <w:pPr>
        <w:pStyle w:val="TextBody"/>
        <w:bidi w:val="0"/>
        <w:spacing w:before="240" w:after="0"/>
        <w:jc w:val="left"/>
        <w:rPr/>
      </w:pPr>
      <w:r>
        <w:rPr/>
        <w:t>“</w:t>
      </w:r>
      <w:r>
        <w:rPr>
          <w:rFonts w:ascii="Times New Roman" w:hAnsi="Times New Roman"/>
          <w:b/>
          <w:sz w:val="20"/>
        </w:rPr>
        <w:t>Term</w:t>
      </w:r>
      <w:r>
        <w:rPr>
          <w:rFonts w:ascii="Times New Roman" w:hAnsi="Times New Roman"/>
          <w:sz w:val="20"/>
        </w:rPr>
        <w:t> </w:t>
      </w:r>
      <w:r>
        <w:rPr>
          <w:rFonts w:ascii="Times New Roman" w:hAnsi="Times New Roman"/>
          <w:b/>
          <w:sz w:val="20"/>
        </w:rPr>
        <w:t>A Loan</w:t>
      </w:r>
      <w:r>
        <w:rPr>
          <w:rFonts w:ascii="Times New Roman" w:hAnsi="Times New Roman"/>
          <w:sz w:val="20"/>
        </w:rPr>
        <w:t xml:space="preserve">” is defined in Section 2.2(a)(i) hereof. </w:t>
      </w:r>
    </w:p>
    <w:p>
      <w:pPr>
        <w:pStyle w:val="TextBody"/>
        <w:bidi w:val="0"/>
        <w:spacing w:before="240" w:after="0"/>
        <w:jc w:val="left"/>
        <w:rPr/>
      </w:pPr>
      <w:r>
        <w:rPr/>
        <w:t>“</w:t>
      </w:r>
      <w:r>
        <w:rPr>
          <w:rFonts w:ascii="Times New Roman" w:hAnsi="Times New Roman"/>
          <w:b/>
          <w:sz w:val="20"/>
        </w:rPr>
        <w:t>Term</w:t>
      </w:r>
      <w:r>
        <w:rPr>
          <w:rFonts w:ascii="Times New Roman" w:hAnsi="Times New Roman"/>
          <w:sz w:val="20"/>
        </w:rPr>
        <w:t> </w:t>
      </w:r>
      <w:r>
        <w:rPr>
          <w:rFonts w:ascii="Times New Roman" w:hAnsi="Times New Roman"/>
          <w:b/>
          <w:sz w:val="20"/>
        </w:rPr>
        <w:t>B Loan</w:t>
      </w:r>
      <w:r>
        <w:rPr>
          <w:rFonts w:ascii="Times New Roman" w:hAnsi="Times New Roman"/>
          <w:sz w:val="20"/>
        </w:rPr>
        <w:t xml:space="preserve">” is defined in Section 2.2(a)(ii) hereof. </w:t>
      </w:r>
    </w:p>
    <w:p>
      <w:pPr>
        <w:pStyle w:val="TextBody"/>
        <w:bidi w:val="0"/>
        <w:spacing w:before="240" w:after="0"/>
        <w:jc w:val="left"/>
        <w:rPr/>
      </w:pPr>
      <w:r>
        <w:rPr/>
        <w:t>“</w:t>
      </w:r>
      <w:r>
        <w:rPr>
          <w:rFonts w:ascii="Times New Roman" w:hAnsi="Times New Roman"/>
          <w:b/>
          <w:sz w:val="20"/>
        </w:rPr>
        <w:t>Term</w:t>
      </w:r>
      <w:r>
        <w:rPr>
          <w:rFonts w:ascii="Times New Roman" w:hAnsi="Times New Roman"/>
          <w:sz w:val="20"/>
        </w:rPr>
        <w:t> </w:t>
      </w:r>
      <w:r>
        <w:rPr>
          <w:rFonts w:ascii="Times New Roman" w:hAnsi="Times New Roman"/>
          <w:b/>
          <w:sz w:val="20"/>
        </w:rPr>
        <w:t>C Loan</w:t>
      </w:r>
      <w:r>
        <w:rPr>
          <w:rFonts w:ascii="Times New Roman" w:hAnsi="Times New Roman"/>
          <w:sz w:val="20"/>
        </w:rPr>
        <w:t xml:space="preserve">” is defined in Section 2.2(a)(iii) hereof. </w:t>
      </w:r>
    </w:p>
    <w:p>
      <w:pPr>
        <w:pStyle w:val="TextBody"/>
        <w:bidi w:val="0"/>
        <w:spacing w:before="240" w:after="0"/>
        <w:jc w:val="left"/>
        <w:rPr/>
      </w:pPr>
      <w:r>
        <w:rPr/>
        <w:t>“</w:t>
      </w:r>
      <w:r>
        <w:rPr>
          <w:rFonts w:ascii="Times New Roman" w:hAnsi="Times New Roman"/>
          <w:b/>
          <w:sz w:val="20"/>
        </w:rPr>
        <w:t>Term</w:t>
      </w:r>
      <w:r>
        <w:rPr>
          <w:rFonts w:ascii="Times New Roman" w:hAnsi="Times New Roman"/>
          <w:sz w:val="20"/>
        </w:rPr>
        <w:t> </w:t>
      </w:r>
      <w:r>
        <w:rPr>
          <w:rFonts w:ascii="Times New Roman" w:hAnsi="Times New Roman"/>
          <w:b/>
          <w:sz w:val="20"/>
        </w:rPr>
        <w:t>D Loan</w:t>
      </w:r>
      <w:r>
        <w:rPr>
          <w:rFonts w:ascii="Times New Roman" w:hAnsi="Times New Roman"/>
          <w:sz w:val="20"/>
        </w:rPr>
        <w:t xml:space="preserve">” is defined in Section 2.2(a)(iv) hereof. </w:t>
      </w:r>
    </w:p>
    <w:p>
      <w:pPr>
        <w:pStyle w:val="TextBody"/>
        <w:bidi w:val="0"/>
        <w:spacing w:before="240" w:after="0"/>
        <w:jc w:val="left"/>
        <w:rPr/>
      </w:pPr>
      <w:r>
        <w:rPr/>
        <w:t>“</w:t>
      </w:r>
      <w:r>
        <w:rPr>
          <w:rFonts w:ascii="Times New Roman" w:hAnsi="Times New Roman"/>
          <w:b/>
          <w:sz w:val="20"/>
        </w:rPr>
        <w:t>Term</w:t>
      </w:r>
      <w:r>
        <w:rPr>
          <w:rFonts w:ascii="Times New Roman" w:hAnsi="Times New Roman"/>
          <w:sz w:val="20"/>
        </w:rPr>
        <w:t> </w:t>
      </w:r>
      <w:r>
        <w:rPr>
          <w:rFonts w:ascii="Times New Roman" w:hAnsi="Times New Roman"/>
          <w:b/>
          <w:sz w:val="20"/>
        </w:rPr>
        <w:t>E Loan</w:t>
      </w:r>
      <w:r>
        <w:rPr>
          <w:rFonts w:ascii="Times New Roman" w:hAnsi="Times New Roman"/>
          <w:sz w:val="20"/>
        </w:rPr>
        <w:t xml:space="preserve">” is defined in Section 2.2(a)(v) hereof. </w:t>
      </w:r>
    </w:p>
    <w:p>
      <w:pPr>
        <w:pStyle w:val="TextBody"/>
        <w:bidi w:val="0"/>
        <w:spacing w:before="240" w:after="0"/>
        <w:jc w:val="left"/>
        <w:rPr/>
      </w:pPr>
      <w:r>
        <w:rPr/>
        <w:t>“</w:t>
      </w:r>
      <w:r>
        <w:rPr>
          <w:rFonts w:ascii="Times New Roman" w:hAnsi="Times New Roman"/>
          <w:b/>
          <w:sz w:val="20"/>
        </w:rPr>
        <w:t>Term Loan Commitment</w:t>
      </w:r>
      <w:r>
        <w:rPr>
          <w:rFonts w:ascii="Times New Roman" w:hAnsi="Times New Roman"/>
          <w:sz w:val="20"/>
        </w:rPr>
        <w:t xml:space="preserve">” is, for any Lender, the obligation of such Lender to make a Term Loan, up to the principal amount shown on </w:t>
      </w:r>
      <w:r>
        <w:rPr>
          <w:rFonts w:ascii="Times New Roman" w:hAnsi="Times New Roman"/>
          <w:sz w:val="20"/>
          <w:u w:val="single"/>
        </w:rPr>
        <w:t>Schedule 1.1</w:t>
      </w:r>
      <w:r>
        <w:rPr>
          <w:rFonts w:ascii="Times New Roman" w:hAnsi="Times New Roman"/>
          <w:b/>
          <w:sz w:val="20"/>
        </w:rPr>
        <w:t>.</w:t>
      </w:r>
      <w:r>
        <w:rPr>
          <w:rFonts w:ascii="Times New Roman" w:hAnsi="Times New Roman"/>
          <w:sz w:val="20"/>
        </w:rPr>
        <w:t xml:space="preserve"> “</w:t>
      </w:r>
      <w:r>
        <w:rPr>
          <w:rFonts w:ascii="Times New Roman" w:hAnsi="Times New Roman"/>
          <w:b/>
          <w:sz w:val="20"/>
        </w:rPr>
        <w:t>Term Loan Commitments</w:t>
      </w:r>
      <w:r>
        <w:rPr>
          <w:rFonts w:ascii="Times New Roman" w:hAnsi="Times New Roman"/>
          <w:sz w:val="20"/>
        </w:rPr>
        <w:t xml:space="preserve">” means the aggregate amount of such commitments of all Lenders. </w:t>
      </w:r>
    </w:p>
    <w:p>
      <w:pPr>
        <w:pStyle w:val="TextBody"/>
        <w:bidi w:val="0"/>
        <w:spacing w:before="240" w:after="0"/>
        <w:jc w:val="left"/>
        <w:rPr/>
      </w:pPr>
      <w:r>
        <w:rPr/>
        <w:t>“</w:t>
      </w:r>
      <w:r>
        <w:rPr>
          <w:rFonts w:ascii="Times New Roman" w:hAnsi="Times New Roman"/>
          <w:b/>
          <w:sz w:val="20"/>
        </w:rPr>
        <w:t>Third Draw Period</w:t>
      </w:r>
      <w:r>
        <w:rPr>
          <w:rFonts w:ascii="Times New Roman" w:hAnsi="Times New Roman"/>
          <w:sz w:val="20"/>
        </w:rPr>
        <w:t xml:space="preserve">” is the period commencing on the date on which Borrower achieves the Third Draw Period Commencement Event and ending on the earlier of (i) the date that is ninety (90) days immediately following the achievement of the Third Draw Period Commencement Event, (ii) December 31, 2027 and (iii) the occurrence of an Event of Default; provided, however, that the Third Draw Period shall not commence if on the date of the occurrence of the Third Draw Period Commencement Event an Event of Default has occurred and is continuing. </w:t>
      </w:r>
    </w:p>
    <w:p>
      <w:pPr>
        <w:pStyle w:val="TextBody"/>
        <w:bidi w:val="0"/>
        <w:spacing w:before="240" w:after="0"/>
        <w:jc w:val="left"/>
        <w:rPr/>
      </w:pPr>
      <w:r>
        <w:rPr/>
        <w:t>“</w:t>
      </w:r>
      <w:r>
        <w:rPr>
          <w:rFonts w:ascii="Times New Roman" w:hAnsi="Times New Roman"/>
          <w:b/>
          <w:sz w:val="20"/>
        </w:rPr>
        <w:t>Third Draw Period Commencement Event</w:t>
      </w:r>
      <w:r>
        <w:rPr>
          <w:rFonts w:ascii="Times New Roman" w:hAnsi="Times New Roman"/>
          <w:sz w:val="20"/>
        </w:rPr>
        <w:t xml:space="preserve">” is the occurrence of the following prior to December 31, 2027: receipt by Borrower of the final approval from U.S. Food and Drug Administration for Borrower’s Biologics License Application for the use of Borrower’s product candidate Tanruprubart in the treatment of Guillain-Barré Syndrome. </w:t>
      </w:r>
    </w:p>
    <w:p>
      <w:pPr>
        <w:pStyle w:val="TextBody"/>
        <w:bidi w:val="0"/>
        <w:spacing w:before="240" w:after="0"/>
        <w:jc w:val="left"/>
        <w:rPr/>
      </w:pPr>
      <w:r>
        <w:rPr/>
        <w:t>“</w:t>
      </w:r>
      <w:r>
        <w:rPr>
          <w:rFonts w:ascii="Times New Roman" w:hAnsi="Times New Roman"/>
          <w:b/>
          <w:sz w:val="20"/>
        </w:rPr>
        <w:t>Trademarks</w:t>
      </w:r>
      <w:r>
        <w:rPr>
          <w:rFonts w:ascii="Times New Roman" w:hAnsi="Times New Roman"/>
          <w:sz w:val="20"/>
        </w:rPr>
        <w:t xml:space="preserve">” means any trademark and servicemark rights, whether registered or not, applications to register and registrations of the same and like protections, and the entire goodwill of the business of Borrower connected with and symbolized by such trademarks.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day on which (a) there is no Market Disruption Event and (b) the Principal Stock Exchange is open for trading; provided that a “Trading Day” only includes those days that have a scheduled closing time of 4:00 p.m. (Eastern time) or the then standard closing time for regular trading on the relevant exchange or trading system.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is defined in Section 7.1.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b/>
          <w:i/>
          <w:sz w:val="20"/>
        </w:rPr>
        <w:t>Balance of Page Intentionally Left Blank</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Effective Date.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1"/>
        <w:gridCol w:w="60"/>
        <w:gridCol w:w="3301"/>
      </w:tblGrid>
      <w:tr>
        <w:trPr/>
        <w:tc>
          <w:tcPr>
            <w:tcW w:w="72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BORROWER: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ANNEXON, INC.</w:t>
            </w:r>
          </w:p>
        </w:tc>
      </w:tr>
      <w:tr>
        <w:trPr>
          <w:trHeight w:val="240" w:hRule="atLeast"/>
        </w:trPr>
        <w:tc>
          <w:tcPr>
            <w:tcW w:w="721" w:type="dxa"/>
            <w:tcBorders/>
            <w:vAlign w:val="center"/>
          </w:tcPr>
          <w:p>
            <w:pPr>
              <w:pStyle w:val="TableContents"/>
              <w:bidi w:val="0"/>
              <w:spacing w:before="0" w:after="283"/>
              <w:jc w:val="left"/>
              <w:rPr>
                <w:sz w:val="4"/>
                <w:szCs w:val="4"/>
              </w:rPr>
            </w:pPr>
            <w:r>
              <w:rPr>
                <w:sz w:val="4"/>
                <w:szCs w:val="4"/>
              </w:rPr>
            </w:r>
          </w:p>
        </w:tc>
        <w:tc>
          <w:tcPr>
            <w:tcW w:w="3361" w:type="dxa"/>
            <w:gridSpan w:val="2"/>
            <w:tcBorders/>
            <w:vAlign w:val="center"/>
          </w:tcPr>
          <w:p>
            <w:pPr>
              <w:pStyle w:val="TableContents"/>
              <w:bidi w:val="0"/>
              <w:spacing w:before="0" w:after="283"/>
              <w:jc w:val="left"/>
              <w:rPr>
                <w:sz w:val="4"/>
                <w:szCs w:val="4"/>
              </w:rPr>
            </w:pPr>
            <w:r>
              <w:rPr>
                <w:sz w:val="4"/>
                <w:szCs w:val="4"/>
              </w:rPr>
            </w:r>
          </w:p>
        </w:tc>
      </w:tr>
      <w:tr>
        <w:trPr/>
        <w:tc>
          <w:tcPr>
            <w:tcW w:w="72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Lew</w:t>
            </w:r>
          </w:p>
        </w:tc>
      </w:tr>
      <w:tr>
        <w:trPr/>
        <w:tc>
          <w:tcPr>
            <w:tcW w:w="72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Jennifer Lew</w:t>
            </w:r>
          </w:p>
        </w:tc>
      </w:tr>
      <w:tr>
        <w:trPr/>
        <w:tc>
          <w:tcPr>
            <w:tcW w:w="72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Executive Vice President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COLLATERAL AGENT AND 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OXFORD FINANCE LLC</w:t>
            </w:r>
          </w:p>
        </w:tc>
      </w:tr>
      <w:tr>
        <w:trPr>
          <w:trHeight w:val="240" w:hRule="atLeast"/>
        </w:trPr>
        <w:tc>
          <w:tcPr>
            <w:tcW w:w="721" w:type="dxa"/>
            <w:tcBorders/>
            <w:vAlign w:val="center"/>
          </w:tcPr>
          <w:p>
            <w:pPr>
              <w:pStyle w:val="TableContents"/>
              <w:bidi w:val="0"/>
              <w:spacing w:before="0" w:after="283"/>
              <w:jc w:val="left"/>
              <w:rPr>
                <w:sz w:val="4"/>
                <w:szCs w:val="4"/>
              </w:rPr>
            </w:pPr>
            <w:r>
              <w:rPr>
                <w:sz w:val="4"/>
                <w:szCs w:val="4"/>
              </w:rPr>
            </w:r>
          </w:p>
        </w:tc>
        <w:tc>
          <w:tcPr>
            <w:tcW w:w="3361" w:type="dxa"/>
            <w:gridSpan w:val="2"/>
            <w:tcBorders/>
            <w:vAlign w:val="center"/>
          </w:tcPr>
          <w:p>
            <w:pPr>
              <w:pStyle w:val="TableContents"/>
              <w:bidi w:val="0"/>
              <w:spacing w:before="0" w:after="283"/>
              <w:jc w:val="left"/>
              <w:rPr>
                <w:sz w:val="4"/>
                <w:szCs w:val="4"/>
              </w:rPr>
            </w:pPr>
            <w:r>
              <w:rPr>
                <w:sz w:val="4"/>
                <w:szCs w:val="4"/>
              </w:rPr>
            </w:r>
          </w:p>
        </w:tc>
      </w:tr>
      <w:tr>
        <w:trPr/>
        <w:tc>
          <w:tcPr>
            <w:tcW w:w="72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Colette H. Featherly</w:t>
            </w:r>
          </w:p>
        </w:tc>
      </w:tr>
      <w:tr>
        <w:trPr/>
        <w:tc>
          <w:tcPr>
            <w:tcW w:w="72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Colette H. Featherly</w:t>
            </w:r>
          </w:p>
        </w:tc>
      </w:tr>
      <w:tr>
        <w:trPr/>
        <w:tc>
          <w:tcPr>
            <w:tcW w:w="72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Executive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LENDER: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OXFORD FINANCE CREDIT FUND IV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By: Oxford Finance Advisors, LLC, as manager</w:t>
            </w:r>
          </w:p>
        </w:tc>
      </w:tr>
      <w:tr>
        <w:trPr>
          <w:trHeight w:val="240" w:hRule="atLeast"/>
        </w:trPr>
        <w:tc>
          <w:tcPr>
            <w:tcW w:w="721" w:type="dxa"/>
            <w:tcBorders/>
            <w:vAlign w:val="center"/>
          </w:tcPr>
          <w:p>
            <w:pPr>
              <w:pStyle w:val="TableContents"/>
              <w:bidi w:val="0"/>
              <w:spacing w:before="0" w:after="283"/>
              <w:jc w:val="left"/>
              <w:rPr>
                <w:sz w:val="4"/>
                <w:szCs w:val="4"/>
              </w:rPr>
            </w:pPr>
            <w:r>
              <w:rPr>
                <w:sz w:val="4"/>
                <w:szCs w:val="4"/>
              </w:rPr>
            </w:r>
          </w:p>
        </w:tc>
        <w:tc>
          <w:tcPr>
            <w:tcW w:w="3361" w:type="dxa"/>
            <w:gridSpan w:val="2"/>
            <w:tcBorders/>
            <w:vAlign w:val="center"/>
          </w:tcPr>
          <w:p>
            <w:pPr>
              <w:pStyle w:val="TableContents"/>
              <w:bidi w:val="0"/>
              <w:spacing w:before="0" w:after="283"/>
              <w:jc w:val="left"/>
              <w:rPr>
                <w:sz w:val="4"/>
                <w:szCs w:val="4"/>
              </w:rPr>
            </w:pPr>
            <w:r>
              <w:rPr>
                <w:sz w:val="4"/>
                <w:szCs w:val="4"/>
              </w:rPr>
            </w:r>
          </w:p>
        </w:tc>
      </w:tr>
      <w:tr>
        <w:trPr/>
        <w:tc>
          <w:tcPr>
            <w:tcW w:w="72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Colette H. Featherly</w:t>
            </w:r>
          </w:p>
        </w:tc>
      </w:tr>
      <w:tr>
        <w:trPr/>
        <w:tc>
          <w:tcPr>
            <w:tcW w:w="72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Colette H. Featherly</w:t>
            </w:r>
          </w:p>
        </w:tc>
      </w:tr>
      <w:tr>
        <w:trPr/>
        <w:tc>
          <w:tcPr>
            <w:tcW w:w="72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Executive Vice President</w:t>
            </w:r>
          </w:p>
        </w:tc>
      </w:tr>
    </w:tbl>
    <w:p>
      <w:pPr>
        <w:pStyle w:val="TextBody"/>
        <w:bidi w:val="0"/>
        <w:spacing w:before="240" w:after="0"/>
        <w:jc w:val="center"/>
        <w:rPr>
          <w:rFonts w:ascii="Times New Roman" w:hAnsi="Times New Roman"/>
          <w:sz w:val="20"/>
        </w:rPr>
      </w:pPr>
      <w:r>
        <w:rPr>
          <w:rFonts w:ascii="Times New Roman" w:hAnsi="Times New Roman"/>
          <w:i/>
          <w:sz w:val="20"/>
        </w:rPr>
        <w:t>[</w:t>
      </w:r>
      <w:r>
        <w:rPr>
          <w:rFonts w:ascii="Times New Roman" w:hAnsi="Times New Roman"/>
          <w:b/>
          <w:i/>
          <w:sz w:val="20"/>
        </w:rPr>
        <w:t>Signature Page to Loan and Security Agreement</w:t>
      </w:r>
      <w:r>
        <w:rPr>
          <w:rFonts w:ascii="Times New Roman" w:hAnsi="Times New Roman"/>
          <w:i/>
          <w:sz w:val="20"/>
        </w:rPr>
        <w:t xml:space="preserve">] </w:t>
      </w:r>
    </w:p>
    <w:p>
      <w:pPr>
        <w:pStyle w:val="TextBody"/>
        <w:bidi w:val="0"/>
        <w:spacing w:before="0" w:after="0"/>
        <w:jc w:val="right"/>
        <w:rPr>
          <w:rFonts w:ascii="Times New Roman" w:hAnsi="Times New Roman"/>
          <w:b/>
          <w:sz w:val="20"/>
        </w:rPr>
      </w:pPr>
      <w:bookmarkStart w:id="4" w:name="d113783dex991.htm"/>
      <w:bookmarkStart w:id="5" w:name="ksd113783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419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Annexon Secures Strategic Credit Facility for up to $200 Million from Oxford Finance </w:t>
      </w:r>
    </w:p>
    <w:p>
      <w:pPr>
        <w:pStyle w:val="TextBody"/>
        <w:bidi w:val="0"/>
        <w:spacing w:before="240" w:after="0"/>
        <w:jc w:val="center"/>
        <w:rPr>
          <w:rFonts w:ascii="Times New Roman" w:hAnsi="Times New Roman"/>
          <w:i/>
          <w:sz w:val="20"/>
        </w:rPr>
      </w:pPr>
      <w:r>
        <w:rPr>
          <w:rFonts w:ascii="Times New Roman" w:hAnsi="Times New Roman"/>
          <w:i/>
          <w:sz w:val="20"/>
        </w:rPr>
        <w:t xml:space="preserve">Expands Financial Capacity as Vonaprument and Tanruprubart Programs Advance Toward Registration </w:t>
      </w:r>
    </w:p>
    <w:p>
      <w:pPr>
        <w:pStyle w:val="TextBody"/>
        <w:bidi w:val="0"/>
        <w:spacing w:before="240" w:after="0"/>
        <w:jc w:val="left"/>
        <w:rPr>
          <w:rFonts w:ascii="Times New Roman" w:hAnsi="Times New Roman"/>
          <w:sz w:val="20"/>
        </w:rPr>
      </w:pPr>
      <w:r>
        <w:rPr>
          <w:rFonts w:ascii="Times New Roman" w:hAnsi="Times New Roman"/>
          <w:b/>
          <w:sz w:val="20"/>
        </w:rPr>
        <w:t>BRISBANE, Calif., July</w:t>
      </w:r>
      <w:r>
        <w:rPr>
          <w:rFonts w:ascii="Times New Roman" w:hAnsi="Times New Roman"/>
          <w:sz w:val="20"/>
        </w:rPr>
        <w:t> </w:t>
      </w:r>
      <w:r>
        <w:rPr>
          <w:rFonts w:ascii="Times New Roman" w:hAnsi="Times New Roman"/>
          <w:b/>
          <w:sz w:val="20"/>
        </w:rPr>
        <w:t xml:space="preserve">30, 2026 – </w:t>
      </w:r>
      <w:r>
        <w:rPr>
          <w:rFonts w:ascii="Times New Roman" w:hAnsi="Times New Roman"/>
          <w:sz w:val="20"/>
        </w:rPr>
        <w:t xml:space="preserve">Annexon, Inc. (Nasdaq: ANNX), a biopharmaceutical company advancing the next generation platform of targeted immunotherapies for multiple neuroinflammatory diseases that impact nearly 10 million people worldwide, today announced that it has entered into a strategic credit facility agreement with Oxford Finance LLC (“Oxford Finance”) for up to $200 million. </w:t>
      </w:r>
    </w:p>
    <w:p>
      <w:pPr>
        <w:pStyle w:val="TextBody"/>
        <w:bidi w:val="0"/>
        <w:spacing w:before="240" w:after="0"/>
        <w:jc w:val="left"/>
        <w:rPr/>
      </w:pPr>
      <w:r>
        <w:rPr/>
        <w:t>“</w:t>
      </w:r>
      <w:r>
        <w:rPr>
          <w:rFonts w:ascii="Times New Roman" w:hAnsi="Times New Roman"/>
          <w:sz w:val="20"/>
        </w:rPr>
        <w:t xml:space="preserve">This strategic facility enhances our financial and operational capabilities as we prepare for the potential global commercialization of vonaprument and tanruprubart, which combined have the potential to reach millions of patients worldwide,” said Douglas Love, president and chief executive officer of Annexon. “Access to this non-dilutive capital further diversifies our capital structure, strengthens our balance sheet, and accelerates our near and long-term growth strategy.” </w:t>
      </w:r>
    </w:p>
    <w:p>
      <w:pPr>
        <w:pStyle w:val="TextBody"/>
        <w:bidi w:val="0"/>
        <w:spacing w:before="240" w:after="0"/>
        <w:jc w:val="left"/>
        <w:rPr>
          <w:rFonts w:ascii="Times New Roman" w:hAnsi="Times New Roman"/>
          <w:sz w:val="20"/>
        </w:rPr>
      </w:pPr>
      <w:r>
        <w:rPr>
          <w:rFonts w:ascii="Times New Roman" w:hAnsi="Times New Roman"/>
          <w:sz w:val="20"/>
        </w:rPr>
        <w:t xml:space="preserve">Kirk Andrews, Managing Director of Oxford Finance added, “Annexon is advancing a differentiated approach to complement-driven neuroinflammatory disease with two programs approaching registration. We are pleased to provide a milestone-based financing facility that reflects our confidence in Annexon’s strategy, execution, and ability to advance vonaprument and tanruprubart through key value-driving milestones in support of patients globally.”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Annexon drew an initial $50 million at closing. An additional $100 million will become available upon the company’s achievement of certain milestones related to its vonaprument and tanruprubart registrational programs, with the remaining $50 million available subject to lender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About Annexon </w:t>
      </w:r>
    </w:p>
    <w:p>
      <w:pPr>
        <w:pStyle w:val="TextBody"/>
        <w:bidi w:val="0"/>
        <w:spacing w:before="120" w:after="0"/>
        <w:jc w:val="left"/>
        <w:rPr>
          <w:rFonts w:ascii="Times New Roman" w:hAnsi="Times New Roman"/>
          <w:sz w:val="20"/>
        </w:rPr>
      </w:pPr>
      <w:r>
        <w:rPr>
          <w:rFonts w:ascii="Times New Roman" w:hAnsi="Times New Roman"/>
          <w:sz w:val="20"/>
        </w:rPr>
        <w:t xml:space="preserve">Annexon Biosciences (Nasdaq: ANNX) is advancing the next generation platform of targeted immunotherapies for nearly 10 million people worldwide living with serious neuroinflammatory diseases. Our founding scientific approach focuses on C1q, the initiating molecule of a potent inflammatory pathway that when misdirected can lead to tissue damage and loss of function in a host of diseases. Our targeted therapies are designed to stop classical complement-driven neuroinflammation at its source to provide meaningful functional benefit and alter the course of disease. Annexon’s mission is to deliver game-changing therapies to patients so that they can live their best lives. To learn more visit </w:t>
      </w:r>
      <w:r>
        <w:rPr>
          <w:rFonts w:ascii="Times New Roman" w:hAnsi="Times New Roman"/>
          <w:sz w:val="20"/>
          <w:u w:val="single"/>
        </w:rPr>
        <w:t>annexonbio.com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Oxford Finance </w:t>
      </w:r>
    </w:p>
    <w:p>
      <w:pPr>
        <w:pStyle w:val="TextBody"/>
        <w:bidi w:val="0"/>
        <w:spacing w:before="120" w:after="0"/>
        <w:jc w:val="left"/>
        <w:rPr>
          <w:rFonts w:ascii="Times New Roman" w:hAnsi="Times New Roman"/>
          <w:sz w:val="20"/>
        </w:rPr>
      </w:pPr>
      <w:r>
        <w:rPr>
          <w:rFonts w:ascii="Times New Roman" w:hAnsi="Times New Roman"/>
          <w:sz w:val="20"/>
        </w:rPr>
        <w:t xml:space="preserve">Oxford Finance LLC is a specialty finance firm providing senior secured loans to public and private companies operating in a variety of industries worldwide. For over 20 years, Oxford has delivered flexible financing solutions to over 750 companies, allowing borrowers to maximize their equity by leveraging their assets. Since 2002, Oxford has originated more than $18 billion in loans. Oxford is headquartered in Alexandria, Virginia, with additional offices serving the greater San Diego, San Francisco, Atlanta and New York City metropolitan areas. For more information, visit </w:t>
      </w:r>
      <w:r>
        <w:rPr>
          <w:rFonts w:ascii="Times New Roman" w:hAnsi="Times New Roman"/>
          <w:sz w:val="20"/>
          <w:u w:val="single"/>
        </w:rPr>
        <w:t>www.oxfordfinance.com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Section 27A of the Securities Act of 1933, as amended, and Section 21E of the Securities Exchange Act of 1934, as amended.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All statements other than statements of historical facts contained in this press release are forward-looking statements. These forward-looking statements include but are not limited to the potential for the company to draw up to an additional $150 million under the credit facility; and continuing advancement of the company’s portfolio and the potential global commercialization of vonaprument and tanruprubart. Forward-looking statements are not guarantees of future performance and are subject to risks and uncertainties that could cause actual results and events to differ materially from those anticipated, including, but not limited to, risks and uncertainties related to: the company’s history of net operating losses; the company’s ability to obtain necessary capital to fund its clinical programs; the potential for delays in the company’s clinical trials; the potential for the company’s product candidates to not receive regulatory approval, including if the FDA and comparable foreign regulatory authorities determine that the company’s submission package is not sufficient or require the company to provide additional data in patients that are not feasible to obtain; the early stages of clinical development of the company’s product candidates; the effects of public health crises on the company’s clinical programs and business operations; the company’s ability to obtain regulatory approval of and successfully commercialize its product candidates; any undesirable side effects or other properties of the company’s product candidates; the company’s reliance on third-party suppliers and manufacturers; the outcomes of any future collaboration agreements; and the company’s ability to adequately maintain intellectual property rights for its product candidates. These and other risks are described in greater detail under the section titled “Risk Factors” contained in the company’s Annual Report on Form 10-K and Quarterly Reports on Form 10-Q and the company’s other filings with the Securities and Exchange Commission. Any forward-looking statements that the company makes in this press release are made pursuant to the Private Securities Litigation Reform Act of 1995, as amended, and speak only as of the date of this press release. Except as required by law, the company undertakes no obligation to publicly update any forward-looking statements, whether as a result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Joyce Allaire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jallaire@lifesciadvisors.com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Beth Keshishian </w:t>
      </w:r>
    </w:p>
    <w:p>
      <w:pPr>
        <w:pStyle w:val="TextBody"/>
        <w:bidi w:val="0"/>
        <w:spacing w:before="0" w:after="0"/>
        <w:jc w:val="left"/>
        <w:rPr>
          <w:rFonts w:ascii="Times New Roman" w:hAnsi="Times New Roman"/>
          <w:sz w:val="20"/>
        </w:rPr>
      </w:pPr>
      <w:r>
        <w:rPr>
          <w:rFonts w:ascii="Times New Roman" w:hAnsi="Times New Roman"/>
          <w:sz w:val="20"/>
        </w:rPr>
        <w:t xml:space="preserve">917-912-7195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beth@bethkeshishian.com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32800</Words>
  <Characters>178182</Characters>
  <CharactersWithSpaces>210938</CharactersWithSpaces>
  <Paragraphs>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