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23141d8k.htm"/>
      <w:bookmarkStart w:id="1" w:name="ksd123141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June 11,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 xml:space="preserve">ANNEXON,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001-39402</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27-5414423</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1400 Sierra Point Parkway, Bldg C, Suite 200</w:t>
      </w:r>
    </w:p>
    <w:p>
      <w:pPr>
        <w:pStyle w:val="TextBody"/>
        <w:bidi w:val="0"/>
        <w:spacing w:before="0" w:after="0"/>
        <w:jc w:val="center"/>
        <w:rPr>
          <w:rFonts w:ascii="Times New Roman" w:hAnsi="Times New Roman"/>
          <w:b/>
          <w:sz w:val="20"/>
        </w:rPr>
      </w:pPr>
      <w:r>
        <w:rPr>
          <w:rFonts w:ascii="Times New Roman" w:hAnsi="Times New Roman"/>
          <w:b/>
          <w:sz w:val="20"/>
        </w:rPr>
        <w:t>Brisbane, California 94005</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(Zip Code)</w:t>
      </w:r>
    </w:p>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(650) 822-5500</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530" w:type="dxa"/>
        <w:jc w:val="left"/>
        <w:tblInd w:w="0" w:type="dxa"/>
        <w:tblLayout w:type="fixed"/>
        <w:tblCellMar>
          <w:top w:w="0" w:type="dxa"/>
          <w:left w:w="0" w:type="dxa"/>
          <w:bottom w:w="0" w:type="dxa"/>
          <w:right w:w="0" w:type="dxa"/>
        </w:tblCellMar>
      </w:tblPr>
      <w:tblGrid>
        <w:gridCol w:w="4145"/>
        <w:gridCol w:w="60"/>
        <w:gridCol w:w="740"/>
        <w:gridCol w:w="60"/>
        <w:gridCol w:w="2525"/>
      </w:tblGrid>
      <w:tr>
        <w:trPr/>
        <w:tc>
          <w:tcPr>
            <w:tcW w:w="4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25" w:type="dxa"/>
            <w:tcBorders/>
            <w:vAlign w:val="center"/>
          </w:tcPr>
          <w:p>
            <w:pPr>
              <w:pStyle w:val="TableContents"/>
              <w:bidi w:val="0"/>
              <w:spacing w:before="0" w:after="283"/>
              <w:jc w:val="left"/>
              <w:rPr>
                <w:sz w:val="4"/>
                <w:szCs w:val="4"/>
              </w:rPr>
            </w:pPr>
            <w:r>
              <w:rPr>
                <w:sz w:val="4"/>
                <w:szCs w:val="4"/>
              </w:rPr>
            </w:r>
          </w:p>
        </w:tc>
      </w:tr>
      <w:tr>
        <w:trPr/>
        <w:tc>
          <w:tcPr>
            <w:tcW w:w="41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52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145" w:type="dxa"/>
            <w:tcBorders/>
            <w:vAlign w:val="center"/>
          </w:tcPr>
          <w:p>
            <w:pPr>
              <w:pStyle w:val="TableContents"/>
              <w:bidi w:val="0"/>
              <w:spacing w:before="0" w:after="283"/>
              <w:jc w:val="center"/>
              <w:rPr/>
            </w:pPr>
            <w:r>
              <w:rPr/>
              <w:t>Common Stock, par value $0.001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ANNX</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center"/>
              <w:rPr/>
            </w:pPr>
            <w:r>
              <w:rPr/>
              <w:t>The Nasdaq Stock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righ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5500" w:type="dxa"/>
        <w:jc w:val="left"/>
        <w:tblInd w:w="0" w:type="dxa"/>
        <w:tblLayout w:type="fixed"/>
        <w:tblCellMar>
          <w:top w:w="0" w:type="dxa"/>
          <w:left w:w="0" w:type="dxa"/>
          <w:bottom w:w="0" w:type="dxa"/>
          <w:right w:w="0" w:type="dxa"/>
        </w:tblCellMar>
      </w:tblPr>
      <w:tblGrid>
        <w:gridCol w:w="1025"/>
        <w:gridCol w:w="4475"/>
      </w:tblGrid>
      <w:tr>
        <w:trPr/>
        <w:tc>
          <w:tcPr>
            <w:tcW w:w="1025" w:type="dxa"/>
            <w:tcBorders/>
            <w:vAlign w:val="center"/>
          </w:tcPr>
          <w:p>
            <w:pPr>
              <w:pStyle w:val="TableContents"/>
              <w:bidi w:val="0"/>
              <w:spacing w:before="0" w:after="283"/>
              <w:jc w:val="left"/>
              <w:rPr>
                <w:b/>
              </w:rPr>
            </w:pPr>
            <w:r>
              <w:rPr>
                <w:b/>
              </w:rPr>
              <w:t>Item 5.07.</w:t>
            </w:r>
          </w:p>
        </w:tc>
        <w:tc>
          <w:tcPr>
            <w:tcW w:w="44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Submission of Matters to a Vote of Security Holders.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Annexon, Inc. (the “Company”) held its 2026 Annual Meeting of Stockholders (the “Annual Meeting”) on June 11, 2026. The following is a brief description of each matter voted upon at the Annual Meeting and the number of votes cast for, withheld or against, the number of abstentions and the number of broker non-votes with respect to each matter, as applicable.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283"/>
              <w:jc w:val="left"/>
              <w:rPr/>
            </w:pPr>
            <w:r>
              <w:rPr/>
              <w:t>1.</w:t>
            </w:r>
          </w:p>
        </w:tc>
        <w:tc>
          <w:tcPr>
            <w:tcW w:w="100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election of two nominees to serve as Class III directors for a three-year term to expire at the 2029 annual meeting of stockholders or until such earlier time as their respective successors are duly elected and qualified. The following two Class III directors were elected by the votes indicated. </w:t>
            </w:r>
          </w:p>
        </w:tc>
      </w:tr>
    </w:tbl>
    <w:p>
      <w:pPr>
        <w:pStyle w:val="TextBody"/>
        <w:bidi w:val="0"/>
        <w:spacing w:before="0" w:after="0"/>
        <w:jc w:val="left"/>
        <w:rPr/>
      </w:pPr>
      <w:r>
        <w:rPr/>
        <w:t> </w:t>
      </w:r>
    </w:p>
    <w:tbl>
      <w:tblPr>
        <w:tblW w:w="7055" w:type="dxa"/>
        <w:jc w:val="left"/>
        <w:tblInd w:w="0" w:type="dxa"/>
        <w:tblLayout w:type="fixed"/>
        <w:tblCellMar>
          <w:top w:w="0" w:type="dxa"/>
          <w:left w:w="0" w:type="dxa"/>
          <w:bottom w:w="0" w:type="dxa"/>
          <w:right w:w="0" w:type="dxa"/>
        </w:tblCellMar>
      </w:tblPr>
      <w:tblGrid>
        <w:gridCol w:w="2165"/>
        <w:gridCol w:w="120"/>
        <w:gridCol w:w="60"/>
        <w:gridCol w:w="1220"/>
        <w:gridCol w:w="60"/>
        <w:gridCol w:w="120"/>
        <w:gridCol w:w="60"/>
        <w:gridCol w:w="1100"/>
        <w:gridCol w:w="60"/>
        <w:gridCol w:w="120"/>
        <w:gridCol w:w="98"/>
        <w:gridCol w:w="1797"/>
        <w:gridCol w:w="75"/>
      </w:tblGrid>
      <w:tr>
        <w:trPr/>
        <w:tc>
          <w:tcPr>
            <w:tcW w:w="21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Withheld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Broker Non-Votes</w:t>
            </w:r>
          </w:p>
        </w:tc>
        <w:tc>
          <w:tcPr>
            <w:tcW w:w="75" w:type="dxa"/>
            <w:tcBorders/>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Bettina M. Cockroft, M.D.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101,594,745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22,807,949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797" w:type="dxa"/>
            <w:tcBorders/>
            <w:shd w:fill="CCEEFF" w:val="clear"/>
            <w:vAlign w:val="center"/>
          </w:tcPr>
          <w:p>
            <w:pPr>
              <w:pStyle w:val="TableContents"/>
              <w:bidi w:val="0"/>
              <w:spacing w:before="0" w:after="283"/>
              <w:jc w:val="right"/>
              <w:rPr/>
            </w:pPr>
            <w:r>
              <w:rPr/>
              <w:t>17,818,815</w:t>
            </w:r>
          </w:p>
        </w:tc>
        <w:tc>
          <w:tcPr>
            <w:tcW w:w="75" w:type="dxa"/>
            <w:tcBorders/>
            <w:shd w:fill="CCEEFF" w:val="clear"/>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Douglas Love, Esq.</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107,491,451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16,911,243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797" w:type="dxa"/>
            <w:tcBorders/>
            <w:vAlign w:val="center"/>
          </w:tcPr>
          <w:p>
            <w:pPr>
              <w:pStyle w:val="TableContents"/>
              <w:bidi w:val="0"/>
              <w:spacing w:before="0" w:after="283"/>
              <w:jc w:val="right"/>
              <w:rPr/>
            </w:pPr>
            <w:r>
              <w:rPr/>
              <w:t>17,818,815</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283"/>
              <w:jc w:val="left"/>
              <w:rPr/>
            </w:pPr>
            <w:r>
              <w:rPr/>
              <w:t>2.</w:t>
            </w:r>
          </w:p>
        </w:tc>
        <w:tc>
          <w:tcPr>
            <w:tcW w:w="1002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ratification of the selection by the Audit Committee of our Board of Directors of KPMG LLP as the Company’s independent registered public accounting firm for the fiscal year ending December 31, 2026. The selection was ratified by the votes indicated. </w:t>
            </w:r>
          </w:p>
        </w:tc>
      </w:tr>
    </w:tbl>
    <w:p>
      <w:pPr>
        <w:pStyle w:val="TextBody"/>
        <w:bidi w:val="0"/>
        <w:spacing w:before="0" w:after="0"/>
        <w:jc w:val="left"/>
        <w:rPr/>
      </w:pPr>
      <w:r>
        <w:rPr/>
        <w:t> </w:t>
      </w:r>
    </w:p>
    <w:tbl>
      <w:tblPr>
        <w:tblW w:w="4250" w:type="dxa"/>
        <w:jc w:val="left"/>
        <w:tblInd w:w="0" w:type="dxa"/>
        <w:tblLayout w:type="fixed"/>
        <w:tblCellMar>
          <w:top w:w="0" w:type="dxa"/>
          <w:left w:w="0" w:type="dxa"/>
          <w:bottom w:w="0" w:type="dxa"/>
          <w:right w:w="0" w:type="dxa"/>
        </w:tblCellMar>
      </w:tblPr>
      <w:tblGrid>
        <w:gridCol w:w="1235"/>
        <w:gridCol w:w="60"/>
        <w:gridCol w:w="800"/>
        <w:gridCol w:w="60"/>
        <w:gridCol w:w="680"/>
        <w:gridCol w:w="60"/>
        <w:gridCol w:w="1355"/>
      </w:tblGrid>
      <w:tr>
        <w:trPr/>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123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For</w:t>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Against</w:t>
            </w:r>
          </w:p>
        </w:tc>
        <w:tc>
          <w:tcPr>
            <w:tcW w:w="60" w:type="dxa"/>
            <w:tcBorders/>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Abstain</w:t>
            </w:r>
          </w:p>
        </w:tc>
        <w:tc>
          <w:tcPr>
            <w:tcW w:w="60" w:type="dxa"/>
            <w:tcBorders/>
            <w:vAlign w:val="center"/>
          </w:tcPr>
          <w:p>
            <w:pPr>
              <w:pStyle w:val="TableContents"/>
              <w:bidi w:val="0"/>
              <w:spacing w:before="0" w:after="283"/>
              <w:jc w:val="left"/>
              <w:rPr/>
            </w:pPr>
            <w:r>
              <w:rPr/>
              <w:t> </w:t>
            </w:r>
          </w:p>
        </w:tc>
        <w:tc>
          <w:tcPr>
            <w:tcW w:w="13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 Non-Votes</w:t>
            </w:r>
          </w:p>
        </w:tc>
      </w:tr>
      <w:tr>
        <w:trPr/>
        <w:tc>
          <w:tcPr>
            <w:tcW w:w="1235" w:type="dxa"/>
            <w:tcBorders/>
            <w:shd w:fill="CCEEFF" w:val="clear"/>
            <w:vAlign w:val="center"/>
          </w:tcPr>
          <w:p>
            <w:pPr>
              <w:pStyle w:val="TableContents"/>
              <w:bidi w:val="0"/>
              <w:spacing w:before="0" w:after="283"/>
              <w:jc w:val="center"/>
              <w:rPr/>
            </w:pPr>
            <w:r>
              <w:rPr/>
              <w:t>142,016,122</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center"/>
              <w:rPr/>
            </w:pPr>
            <w:r>
              <w:rPr/>
              <w:t>185,546</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center"/>
              <w:rPr/>
            </w:pPr>
            <w:r>
              <w:rPr/>
              <w:t>19,841</w:t>
            </w:r>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center"/>
              <w:rPr/>
            </w:pPr>
            <w:r>
              <w:rPr/>
              <w:t>—</w:t>
            </w:r>
          </w:p>
        </w:tc>
      </w:tr>
    </w:tbl>
    <w:p>
      <w:pPr>
        <w:pStyle w:val="TextBody"/>
        <w:bidi w:val="0"/>
        <w:spacing w:before="0" w:after="0"/>
        <w:jc w:val="left"/>
        <w:rPr/>
      </w:pPr>
      <w:r>
        <w:rPr/>
        <w:t> </w:t>
      </w:r>
    </w:p>
    <w:tbl>
      <w:tblPr>
        <w:tblW w:w="9640" w:type="dxa"/>
        <w:jc w:val="left"/>
        <w:tblInd w:w="0" w:type="dxa"/>
        <w:tblLayout w:type="fixed"/>
        <w:tblCellMar>
          <w:top w:w="0" w:type="dxa"/>
          <w:left w:w="0" w:type="dxa"/>
          <w:bottom w:w="0" w:type="dxa"/>
          <w:right w:w="0" w:type="dxa"/>
        </w:tblCellMar>
      </w:tblPr>
      <w:tblGrid>
        <w:gridCol w:w="215"/>
        <w:gridCol w:w="9425"/>
      </w:tblGrid>
      <w:tr>
        <w:trPr/>
        <w:tc>
          <w:tcPr>
            <w:tcW w:w="215" w:type="dxa"/>
            <w:tcBorders/>
            <w:vAlign w:val="center"/>
          </w:tcPr>
          <w:p>
            <w:pPr>
              <w:pStyle w:val="TableContents"/>
              <w:bidi w:val="0"/>
              <w:spacing w:before="0" w:after="283"/>
              <w:jc w:val="left"/>
              <w:rPr/>
            </w:pPr>
            <w:r>
              <w:rPr/>
              <w:t>3.</w:t>
            </w:r>
          </w:p>
        </w:tc>
        <w:tc>
          <w:tcPr>
            <w:tcW w:w="9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approval, on an advisory (non-binding) basis, of the compensation of the Company’s named executive officers. </w:t>
            </w:r>
          </w:p>
        </w:tc>
      </w:tr>
    </w:tbl>
    <w:p>
      <w:pPr>
        <w:pStyle w:val="TextBody"/>
        <w:bidi w:val="0"/>
        <w:spacing w:before="0" w:after="0"/>
        <w:jc w:val="left"/>
        <w:rPr/>
      </w:pPr>
      <w:r>
        <w:rPr/>
        <w:t> </w:t>
      </w:r>
    </w:p>
    <w:tbl>
      <w:tblPr>
        <w:tblW w:w="4430" w:type="dxa"/>
        <w:jc w:val="left"/>
        <w:tblInd w:w="0" w:type="dxa"/>
        <w:tblLayout w:type="fixed"/>
        <w:tblCellMar>
          <w:top w:w="0" w:type="dxa"/>
          <w:left w:w="0" w:type="dxa"/>
          <w:bottom w:w="0" w:type="dxa"/>
          <w:right w:w="0" w:type="dxa"/>
        </w:tblCellMar>
      </w:tblPr>
      <w:tblGrid>
        <w:gridCol w:w="1235"/>
        <w:gridCol w:w="60"/>
        <w:gridCol w:w="980"/>
        <w:gridCol w:w="60"/>
        <w:gridCol w:w="680"/>
        <w:gridCol w:w="60"/>
        <w:gridCol w:w="1355"/>
      </w:tblGrid>
      <w:tr>
        <w:trPr/>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123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For</w:t>
            </w:r>
          </w:p>
        </w:tc>
        <w:tc>
          <w:tcPr>
            <w:tcW w:w="60" w:type="dxa"/>
            <w:tcBorders/>
            <w:vAlign w:val="center"/>
          </w:tcPr>
          <w:p>
            <w:pPr>
              <w:pStyle w:val="TableContents"/>
              <w:bidi w:val="0"/>
              <w:spacing w:before="0" w:after="283"/>
              <w:jc w:val="left"/>
              <w:rPr/>
            </w:pPr>
            <w:r>
              <w:rPr/>
              <w:t> </w:t>
            </w:r>
          </w:p>
        </w:tc>
        <w:tc>
          <w:tcPr>
            <w:tcW w:w="9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Against</w:t>
            </w:r>
          </w:p>
        </w:tc>
        <w:tc>
          <w:tcPr>
            <w:tcW w:w="60" w:type="dxa"/>
            <w:tcBorders/>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Abstain</w:t>
            </w:r>
          </w:p>
        </w:tc>
        <w:tc>
          <w:tcPr>
            <w:tcW w:w="60" w:type="dxa"/>
            <w:tcBorders/>
            <w:vAlign w:val="center"/>
          </w:tcPr>
          <w:p>
            <w:pPr>
              <w:pStyle w:val="TableContents"/>
              <w:bidi w:val="0"/>
              <w:spacing w:before="0" w:after="283"/>
              <w:jc w:val="left"/>
              <w:rPr/>
            </w:pPr>
            <w:r>
              <w:rPr/>
              <w:t> </w:t>
            </w:r>
          </w:p>
        </w:tc>
        <w:tc>
          <w:tcPr>
            <w:tcW w:w="13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 Non-Votes</w:t>
            </w:r>
          </w:p>
        </w:tc>
      </w:tr>
      <w:tr>
        <w:trPr/>
        <w:tc>
          <w:tcPr>
            <w:tcW w:w="1235" w:type="dxa"/>
            <w:tcBorders/>
            <w:shd w:fill="CCEEFF" w:val="clear"/>
            <w:vAlign w:val="center"/>
          </w:tcPr>
          <w:p>
            <w:pPr>
              <w:pStyle w:val="TableContents"/>
              <w:bidi w:val="0"/>
              <w:spacing w:before="0" w:after="283"/>
              <w:jc w:val="center"/>
              <w:rPr/>
            </w:pPr>
            <w:r>
              <w:rPr/>
              <w:t>122,347,513</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center"/>
              <w:rPr/>
            </w:pPr>
            <w:r>
              <w:rPr/>
              <w:t>1,986,387</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center"/>
              <w:rPr/>
            </w:pPr>
            <w:r>
              <w:rPr/>
              <w:t>68,794</w:t>
            </w:r>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center"/>
              <w:rPr/>
            </w:pPr>
            <w:r>
              <w:rPr/>
              <w:t>17,818,815</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283"/>
              <w:jc w:val="left"/>
              <w:rPr/>
            </w:pPr>
            <w:r>
              <w:rPr/>
              <w:t>4.</w:t>
            </w:r>
          </w:p>
        </w:tc>
        <w:tc>
          <w:tcPr>
            <w:tcW w:w="1001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approval of an amendment to the Company’s amended and restated certificate of incorporation to increase the number of authorized shares of common stock from 300,000,000 to 500,000,000. </w:t>
            </w:r>
          </w:p>
        </w:tc>
      </w:tr>
    </w:tbl>
    <w:p>
      <w:pPr>
        <w:pStyle w:val="TextBody"/>
        <w:bidi w:val="0"/>
        <w:spacing w:before="0" w:after="0"/>
        <w:jc w:val="left"/>
        <w:rPr/>
      </w:pPr>
      <w:r>
        <w:rPr/>
        <w:t> </w:t>
      </w:r>
    </w:p>
    <w:tbl>
      <w:tblPr>
        <w:tblW w:w="4730" w:type="dxa"/>
        <w:jc w:val="left"/>
        <w:tblInd w:w="0" w:type="dxa"/>
        <w:tblLayout w:type="fixed"/>
        <w:tblCellMar>
          <w:top w:w="0" w:type="dxa"/>
          <w:left w:w="0" w:type="dxa"/>
          <w:bottom w:w="0" w:type="dxa"/>
          <w:right w:w="0" w:type="dxa"/>
        </w:tblCellMar>
      </w:tblPr>
      <w:tblGrid>
        <w:gridCol w:w="1235"/>
        <w:gridCol w:w="60"/>
        <w:gridCol w:w="980"/>
        <w:gridCol w:w="60"/>
        <w:gridCol w:w="980"/>
        <w:gridCol w:w="60"/>
        <w:gridCol w:w="1355"/>
      </w:tblGrid>
      <w:tr>
        <w:trPr/>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123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For</w:t>
            </w:r>
          </w:p>
        </w:tc>
        <w:tc>
          <w:tcPr>
            <w:tcW w:w="60" w:type="dxa"/>
            <w:tcBorders/>
            <w:vAlign w:val="center"/>
          </w:tcPr>
          <w:p>
            <w:pPr>
              <w:pStyle w:val="TableContents"/>
              <w:bidi w:val="0"/>
              <w:spacing w:before="0" w:after="283"/>
              <w:jc w:val="left"/>
              <w:rPr/>
            </w:pPr>
            <w:r>
              <w:rPr/>
              <w:t> </w:t>
            </w:r>
          </w:p>
        </w:tc>
        <w:tc>
          <w:tcPr>
            <w:tcW w:w="9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Against</w:t>
            </w:r>
          </w:p>
        </w:tc>
        <w:tc>
          <w:tcPr>
            <w:tcW w:w="60" w:type="dxa"/>
            <w:tcBorders/>
            <w:vAlign w:val="center"/>
          </w:tcPr>
          <w:p>
            <w:pPr>
              <w:pStyle w:val="TableContents"/>
              <w:bidi w:val="0"/>
              <w:spacing w:before="0" w:after="283"/>
              <w:jc w:val="left"/>
              <w:rPr/>
            </w:pPr>
            <w:r>
              <w:rPr/>
              <w:t> </w:t>
            </w:r>
          </w:p>
        </w:tc>
        <w:tc>
          <w:tcPr>
            <w:tcW w:w="9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Abstain</w:t>
            </w:r>
          </w:p>
        </w:tc>
        <w:tc>
          <w:tcPr>
            <w:tcW w:w="60" w:type="dxa"/>
            <w:tcBorders/>
            <w:vAlign w:val="center"/>
          </w:tcPr>
          <w:p>
            <w:pPr>
              <w:pStyle w:val="TableContents"/>
              <w:bidi w:val="0"/>
              <w:spacing w:before="0" w:after="283"/>
              <w:jc w:val="left"/>
              <w:rPr/>
            </w:pPr>
            <w:r>
              <w:rPr/>
              <w:t> </w:t>
            </w:r>
          </w:p>
        </w:tc>
        <w:tc>
          <w:tcPr>
            <w:tcW w:w="13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 Non-Votes</w:t>
            </w:r>
          </w:p>
        </w:tc>
      </w:tr>
      <w:tr>
        <w:trPr/>
        <w:tc>
          <w:tcPr>
            <w:tcW w:w="1235" w:type="dxa"/>
            <w:tcBorders/>
            <w:shd w:fill="CCEEFF" w:val="clear"/>
            <w:vAlign w:val="center"/>
          </w:tcPr>
          <w:p>
            <w:pPr>
              <w:pStyle w:val="TableContents"/>
              <w:bidi w:val="0"/>
              <w:spacing w:before="0" w:after="283"/>
              <w:jc w:val="center"/>
              <w:rPr/>
            </w:pPr>
            <w:r>
              <w:rPr/>
              <w:t>129,051,256</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center"/>
              <w:rPr/>
            </w:pPr>
            <w:r>
              <w:rPr/>
              <w:t>4,374,799</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center"/>
              <w:rPr/>
            </w:pPr>
            <w:r>
              <w:rPr/>
              <w:t>8,795,454</w:t>
            </w:r>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center"/>
              <w:rPr/>
            </w:pPr>
            <w:r>
              <w:rPr/>
              <w: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7619" w:type="dxa"/>
        <w:jc w:val="left"/>
        <w:tblInd w:w="0" w:type="dxa"/>
        <w:tblLayout w:type="fixed"/>
        <w:tblCellMar>
          <w:top w:w="0" w:type="dxa"/>
          <w:left w:w="0" w:type="dxa"/>
          <w:bottom w:w="0" w:type="dxa"/>
          <w:right w:w="0" w:type="dxa"/>
        </w:tblCellMar>
      </w:tblPr>
      <w:tblGrid>
        <w:gridCol w:w="644"/>
        <w:gridCol w:w="1019"/>
        <w:gridCol w:w="396"/>
        <w:gridCol w:w="60"/>
        <w:gridCol w:w="365"/>
        <w:gridCol w:w="60"/>
        <w:gridCol w:w="5075"/>
      </w:tblGrid>
      <w:tr>
        <w:trPr/>
        <w:tc>
          <w:tcPr>
            <w:tcW w:w="644"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75" w:type="dxa"/>
            <w:tcBorders/>
            <w:vAlign w:val="center"/>
          </w:tcPr>
          <w:p>
            <w:pPr>
              <w:pStyle w:val="TableContents"/>
              <w:bidi w:val="0"/>
              <w:spacing w:before="0" w:after="283"/>
              <w:jc w:val="left"/>
              <w:rPr>
                <w:sz w:val="4"/>
                <w:szCs w:val="4"/>
              </w:rPr>
            </w:pPr>
            <w:r>
              <w:rPr>
                <w:sz w:val="4"/>
                <w:szCs w:val="4"/>
              </w:rPr>
            </w:r>
          </w:p>
        </w:tc>
      </w:tr>
      <w:tr>
        <w:trPr/>
        <w:tc>
          <w:tcPr>
            <w:tcW w:w="2059" w:type="dxa"/>
            <w:gridSpan w:val="3"/>
            <w:tcBorders/>
            <w:vAlign w:val="center"/>
          </w:tcPr>
          <w:p>
            <w:pPr>
              <w:pStyle w:val="TableContents"/>
              <w:bidi w:val="0"/>
              <w:spacing w:before="0" w:after="283"/>
              <w:jc w:val="left"/>
              <w:rPr/>
            </w:pPr>
            <w:r>
              <w:rPr/>
              <w:t>Dated: June 12, 2026</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b/>
              </w:rPr>
            </w:pPr>
            <w:r>
              <w:rPr>
                <w:b/>
              </w:rPr>
              <w:t>Annexon, Inc.</w:t>
            </w:r>
          </w:p>
        </w:tc>
      </w:tr>
      <w:tr>
        <w:trPr/>
        <w:tc>
          <w:tcPr>
            <w:tcW w:w="644" w:type="dxa"/>
            <w:tcBorders/>
            <w:vAlign w:val="center"/>
          </w:tcPr>
          <w:p>
            <w:pPr>
              <w:pStyle w:val="TableContents"/>
              <w:bidi w:val="0"/>
              <w:spacing w:before="0" w:after="283"/>
              <w:jc w:val="left"/>
              <w:rPr>
                <w:sz w:val="4"/>
                <w:szCs w:val="4"/>
              </w:rPr>
            </w:pPr>
            <w:r>
              <w:rPr>
                <w:sz w:val="4"/>
                <w:szCs w:val="4"/>
              </w:rPr>
            </w:r>
          </w:p>
        </w:tc>
        <w:tc>
          <w:tcPr>
            <w:tcW w:w="1415"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135" w:type="dxa"/>
            <w:gridSpan w:val="2"/>
            <w:tcBorders/>
            <w:vAlign w:val="center"/>
          </w:tcPr>
          <w:p>
            <w:pPr>
              <w:pStyle w:val="TableContents"/>
              <w:bidi w:val="0"/>
              <w:spacing w:before="0" w:after="283"/>
              <w:jc w:val="left"/>
              <w:rPr>
                <w:sz w:val="4"/>
                <w:szCs w:val="4"/>
              </w:rPr>
            </w:pPr>
            <w:r>
              <w:rPr>
                <w:sz w:val="4"/>
                <w:szCs w:val="4"/>
              </w:rPr>
            </w:r>
          </w:p>
        </w:tc>
      </w:tr>
      <w:tr>
        <w:trPr/>
        <w:tc>
          <w:tcPr>
            <w:tcW w:w="644"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Jennifer Lew</w:t>
            </w:r>
          </w:p>
        </w:tc>
      </w:tr>
      <w:tr>
        <w:trPr/>
        <w:tc>
          <w:tcPr>
            <w:tcW w:w="644"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Jennifer Lew</w:t>
            </w:r>
          </w:p>
        </w:tc>
      </w:tr>
      <w:tr>
        <w:trPr/>
        <w:tc>
          <w:tcPr>
            <w:tcW w:w="644"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Executive Vice President and Chief Financial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609</Words>
  <Characters>3351</Characters>
  <CharactersWithSpaces>3972</CharactersWithSpaces>
  <Paragraphs>192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