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nnx-20260630.htm"/>
      <w:bookmarkStart w:id="1" w:name="ksannx20260630"/>
      <w:bookmarkEnd w:id="0"/>
      <w:bookmarkEnd w:id="1"/>
      <w:r>
        <w:rPr/>
        <w:t> </w:t>
      </w:r>
    </w:p>
    <w:p>
      <w:pPr>
        <w:pStyle w:val="TextBody"/>
        <w:pBdr>
          <w:bottom w:val="double" w:sz="4" w:space="1" w:color="000000"/>
        </w:pBdr>
        <w:bidi w:val="0"/>
        <w:jc w:val="left"/>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60" w:after="283"/>
        <w:jc w:val="both"/>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60" w:after="283"/>
        <w:jc w:val="center"/>
        <w:rPr>
          <w:rFonts w:ascii="Times New Roman" w:hAnsi="Times New Roman"/>
          <w:b/>
          <w:color w:val="000000"/>
          <w:sz w:val="24"/>
        </w:rPr>
      </w:pPr>
      <w:r>
        <w:rPr>
          <w:rFonts w:ascii="Times New Roman" w:hAnsi="Times New Roman"/>
          <w:b/>
          <w:color w:val="000000"/>
          <w:sz w:val="24"/>
        </w:rPr>
        <w:t>For the quarterly period ended June 30, 2026</w:t>
      </w:r>
    </w:p>
    <w:p>
      <w:pPr>
        <w:pStyle w:val="TextBody"/>
        <w:bidi w:val="0"/>
        <w:spacing w:before="60" w:after="283"/>
        <w:jc w:val="center"/>
        <w:rPr>
          <w:rFonts w:ascii="Times New Roman" w:hAnsi="Times New Roman"/>
          <w:b/>
          <w:color w:val="000000"/>
          <w:sz w:val="24"/>
        </w:rPr>
      </w:pPr>
      <w:r>
        <w:rPr>
          <w:rFonts w:ascii="Times New Roman" w:hAnsi="Times New Roman"/>
          <w:b/>
          <w:color w:val="000000"/>
          <w:sz w:val="24"/>
        </w:rPr>
        <w:t>OR</w:t>
      </w:r>
    </w:p>
    <w:p>
      <w:pPr>
        <w:pStyle w:val="TextBody"/>
        <w:bidi w:val="0"/>
        <w:spacing w:before="60" w:after="283"/>
        <w:jc w:val="left"/>
        <w:rPr/>
      </w:pPr>
      <w:r>
        <w:rPr>
          <w:color w:val="000000"/>
        </w:rPr>
        <w:t xml:space="preserve">☐ </w:t>
      </w: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Commission File Number 001-39402</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ANNEXON,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left"/>
        <w:rPr/>
      </w:pPr>
      <w:r>
        <w:rPr/>
        <w:t> </w:t>
      </w:r>
    </w:p>
    <w:tbl>
      <w:tblPr>
        <w:tblW w:w="4161" w:type="dxa"/>
        <w:jc w:val="left"/>
        <w:tblInd w:w="0" w:type="dxa"/>
        <w:tblLayout w:type="fixed"/>
        <w:tblCellMar>
          <w:top w:w="28" w:type="dxa"/>
          <w:left w:w="28" w:type="dxa"/>
          <w:bottom w:w="28" w:type="dxa"/>
          <w:right w:w="28" w:type="dxa"/>
        </w:tblCellMar>
      </w:tblPr>
      <w:tblGrid>
        <w:gridCol w:w="2566"/>
        <w:gridCol w:w="109"/>
        <w:gridCol w:w="1486"/>
      </w:tblGrid>
      <w:tr>
        <w:trPr/>
        <w:tc>
          <w:tcPr>
            <w:tcW w:w="2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27-5414423</w:t>
            </w:r>
          </w:p>
        </w:tc>
      </w:tr>
      <w:tr>
        <w:trPr/>
        <w:tc>
          <w:tcPr>
            <w:tcW w:w="25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1400 Sierra Point Parkway, Bldg C, Suite 200</w:t>
      </w:r>
    </w:p>
    <w:p>
      <w:pPr>
        <w:pStyle w:val="TextBody"/>
        <w:bidi w:val="0"/>
        <w:jc w:val="center"/>
        <w:rPr>
          <w:rFonts w:ascii="Times New Roman" w:hAnsi="Times New Roman"/>
          <w:sz w:val="20"/>
        </w:rPr>
      </w:pPr>
      <w:r>
        <w:rPr>
          <w:rFonts w:ascii="Times New Roman" w:hAnsi="Times New Roman"/>
          <w:b/>
          <w:color w:val="000000"/>
          <w:sz w:val="20"/>
        </w:rPr>
        <w:t>Brisbane, California</w:t>
      </w:r>
      <w:r>
        <w:rPr>
          <w:rFonts w:ascii="Times New Roman" w:hAnsi="Times New Roman"/>
          <w:color w:val="000000"/>
          <w:sz w:val="20"/>
        </w:rPr>
        <w:t xml:space="preserve"> </w:t>
      </w:r>
      <w:r>
        <w:rPr>
          <w:rFonts w:ascii="Times New Roman" w:hAnsi="Times New Roman"/>
          <w:b/>
          <w:color w:val="000000"/>
          <w:sz w:val="20"/>
        </w:rPr>
        <w:t>94005</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 including zip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(650) 822-5500</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Former name, former address and former fiscal year, if changed since last report: Not applicable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9123" w:type="dxa"/>
        <w:jc w:val="left"/>
        <w:tblInd w:w="0" w:type="dxa"/>
        <w:tblLayout w:type="fixed"/>
        <w:tblCellMar>
          <w:top w:w="28" w:type="dxa"/>
          <w:left w:w="28" w:type="dxa"/>
          <w:bottom w:w="28" w:type="dxa"/>
          <w:right w:w="28" w:type="dxa"/>
        </w:tblCellMar>
      </w:tblPr>
      <w:tblGrid>
        <w:gridCol w:w="3601"/>
        <w:gridCol w:w="169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0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6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ANNX</w:t>
            </w:r>
          </w:p>
        </w:tc>
        <w:tc>
          <w:tcPr>
            <w:tcW w:w="38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20"/>
        </w:rPr>
        <w:t>Yes</w:t>
      </w:r>
      <w:r>
        <w:rPr>
          <w:rFonts w:ascii="Times New Roman" w:hAnsi="Times New Roman"/>
          <w:color w:val="000000"/>
          <w:sz w:val="20"/>
        </w:rPr>
        <w:t xml:space="preserve"> ☒ NO ☐</w:t>
      </w:r>
    </w:p>
    <w:p>
      <w:pPr>
        <w:pStyle w:val="TextBody"/>
        <w:bidi w:val="0"/>
        <w:jc w:val="left"/>
        <w:rPr>
          <w:rFonts w:ascii="Times New Roman" w:hAnsi="Times New Roman"/>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20"/>
        </w:rPr>
        <w:t>Yes</w:t>
      </w:r>
      <w:r>
        <w:rPr>
          <w:rFonts w:ascii="Times New Roman" w:hAnsi="Times New Roman"/>
          <w:color w:val="000000"/>
          <w:sz w:val="20"/>
        </w:rPr>
        <w:t xml:space="preserve"> ☒ NO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553" w:type="dxa"/>
        <w:jc w:val="left"/>
        <w:tblInd w:w="0" w:type="dxa"/>
        <w:tblLayout w:type="fixed"/>
        <w:tblCellMar>
          <w:top w:w="28" w:type="dxa"/>
          <w:left w:w="28" w:type="dxa"/>
          <w:bottom w:w="28" w:type="dxa"/>
          <w:right w:w="28" w:type="dxa"/>
        </w:tblCellMar>
      </w:tblPr>
      <w:tblGrid>
        <w:gridCol w:w="1921"/>
        <w:gridCol w:w="146"/>
        <w:gridCol w:w="316"/>
        <w:gridCol w:w="146"/>
        <w:gridCol w:w="146"/>
        <w:gridCol w:w="2311"/>
        <w:gridCol w:w="146"/>
        <w:gridCol w:w="42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20"/>
        </w:rPr>
        <w:t>The number of shares of the Registrant’s Common Stock outstanding as of August 10, 2026 was 189,579,134. This number does not include 14,865,799 shares of Common Stock issuable upon the exercise of pre-funded warrants (which are immediately exercisable at an exercise price of $0.001 per share of Common Stock, subject to beneficial ownership limitations). See Note 6—</w:t>
      </w:r>
      <w:r>
        <w:rPr>
          <w:rFonts w:ascii="Times New Roman" w:hAnsi="Times New Roman"/>
          <w:i/>
          <w:color w:val="000000"/>
          <w:sz w:val="20"/>
        </w:rPr>
        <w:t xml:space="preserve">Stockholders’ Equity </w:t>
      </w:r>
      <w:r>
        <w:rPr>
          <w:rFonts w:ascii="Times New Roman" w:hAnsi="Times New Roman"/>
          <w:color w:val="000000"/>
          <w:sz w:val="20"/>
        </w:rPr>
        <w:t>to the Registrant’s unaudited condensed consolidated financial statements.</w:t>
      </w:r>
    </w:p>
    <w:p>
      <w:pPr>
        <w:pStyle w:val="TextBody"/>
        <w:pBdr>
          <w:bottom w:val="double" w:sz="4"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Table of Contents</w:t>
      </w:r>
    </w:p>
    <w:p>
      <w:pPr>
        <w:pStyle w:val="TextBody"/>
        <w:bidi w:val="0"/>
        <w:jc w:val="left"/>
        <w:rPr/>
      </w:pPr>
      <w:r>
        <w:rPr/>
        <w:t> </w:t>
      </w:r>
    </w:p>
    <w:tbl>
      <w:tblPr>
        <w:tblW w:w="9384" w:type="dxa"/>
        <w:jc w:val="left"/>
        <w:tblInd w:w="0" w:type="dxa"/>
        <w:tblLayout w:type="fixed"/>
        <w:tblCellMar>
          <w:top w:w="28" w:type="dxa"/>
          <w:left w:w="28" w:type="dxa"/>
          <w:bottom w:w="28" w:type="dxa"/>
          <w:right w:w="28" w:type="dxa"/>
        </w:tblCellMar>
      </w:tblPr>
      <w:tblGrid>
        <w:gridCol w:w="811"/>
        <w:gridCol w:w="636"/>
        <w:gridCol w:w="7366"/>
        <w:gridCol w:w="571"/>
      </w:tblGrid>
      <w:tr>
        <w:trPr/>
        <w:tc>
          <w:tcPr>
            <w:tcW w:w="81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40"/>
              <w:jc w:val="center"/>
              <w:rPr>
                <w:rFonts w:ascii="Times New Roman" w:hAnsi="Times New Roman"/>
                <w:b/>
                <w:color w:val="000000"/>
                <w:sz w:val="20"/>
              </w:rPr>
            </w:pPr>
            <w:r>
              <w:rPr>
                <w:rFonts w:ascii="Times New Roman" w:hAnsi="Times New Roman"/>
                <w:b/>
                <w:color w:val="000000"/>
                <w:sz w:val="20"/>
              </w:rPr>
              <w:t>PART I—FINANCIAL INFORMATION</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Statements (Unaudited)</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condensed_consolidated_statements_operat">
              <w:r>
                <w:rPr>
                  <w:rStyle w:val="InternetLink"/>
                  <w:rFonts w:ascii="Times New Roman" w:hAnsi="Times New Roman"/>
                  <w:color w:val="0000FF"/>
                  <w:sz w:val="20"/>
                  <w:u w:val="single"/>
                </w:rPr>
                <w:t>Condensed Consolidated Statements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condensed_consolidated_statements_compre">
              <w:r>
                <w:rPr>
                  <w:rStyle w:val="InternetLink"/>
                  <w:rFonts w:ascii="Times New Roman" w:hAnsi="Times New Roman"/>
                  <w:color w:val="0000FF"/>
                  <w:sz w:val="20"/>
                  <w:u w:val="single"/>
                </w:rPr>
                <w:t>Condensed Consolidated Statements of Comprehensive Loss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condensed_consolidated_statements_stockh">
              <w:r>
                <w:rPr>
                  <w:rStyle w:val="InternetLink"/>
                  <w:rFonts w:ascii="Times New Roman" w:hAnsi="Times New Roman"/>
                  <w:color w:val="0000FF"/>
                  <w:sz w:val="20"/>
                  <w:u w:val="single"/>
                </w:rPr>
                <w:t>Condensed Consolidated Statements of Stockholders’ Equity</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II—OTHER INFORMATION</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recent_sales_unregistered_securit">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881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this Quarterly Report on Form 10-Q, “we,” “our,” “us,” “Annexon” and the “Company” refer to Annexon, Inc. and its consolidated subsidiary. Annexon, Annexon, Inc., the Annexon logo and other trade names, trademarks or service marks of Annexon are the property of Annexon,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ANNEXON,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 w:name="condensed_consolidated_balance_sheets"/>
      <w:bookmarkEnd w:id="2"/>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7649" w:type="dxa"/>
        <w:jc w:val="left"/>
        <w:tblInd w:w="0" w:type="dxa"/>
        <w:tblLayout w:type="fixed"/>
        <w:tblCellMar>
          <w:top w:w="28" w:type="dxa"/>
          <w:left w:w="28" w:type="dxa"/>
          <w:bottom w:w="28" w:type="dxa"/>
          <w:right w:w="28" w:type="dxa"/>
        </w:tblCellMar>
      </w:tblPr>
      <w:tblGrid>
        <w:gridCol w:w="4036"/>
        <w:gridCol w:w="146"/>
        <w:gridCol w:w="211"/>
        <w:gridCol w:w="991"/>
        <w:gridCol w:w="166"/>
        <w:gridCol w:w="146"/>
        <w:gridCol w:w="211"/>
        <w:gridCol w:w="931"/>
        <w:gridCol w:w="81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162,051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76,294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242,191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277,571</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65,923</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1,128,917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(1,016,879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(917,389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211,648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277,571</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See accompanying notes to unaudited condensed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ANNEXON,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 w:name="condensed_consolidated_statements_operat"/>
      <w:bookmarkEnd w:id="3"/>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24"/>
        <w:gridCol w:w="146"/>
        <w:gridCol w:w="211"/>
        <w:gridCol w:w="1141"/>
        <w:gridCol w:w="166"/>
        <w:gridCol w:w="146"/>
        <w:gridCol w:w="211"/>
        <w:gridCol w:w="1141"/>
        <w:gridCol w:w="166"/>
        <w:gridCol w:w="146"/>
        <w:gridCol w:w="211"/>
        <w:gridCol w:w="1141"/>
        <w:gridCol w:w="166"/>
        <w:gridCol w:w="146"/>
        <w:gridCol w:w="211"/>
        <w:gridCol w:w="1141"/>
        <w:gridCol w:w="791"/>
      </w:tblGrid>
      <w:tr>
        <w:trPr/>
        <w:tc>
          <w:tcPr>
            <w:tcW w:w="2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92,339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(109,131</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(103,512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Deemed dividend on modification of 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(105,369</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w:t>
              <w:br/>
              <w:t>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201,003,269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148,320,803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197,620,477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148,215,392</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See accompanying notes to unaudited condensed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ANNEXON,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statements_compre"/>
      <w:bookmarkEnd w:id="4"/>
      <w:r>
        <w:rPr>
          <w:rFonts w:ascii="Times New Roman" w:hAnsi="Times New Roman"/>
          <w:b/>
          <w:color w:val="000000"/>
          <w:sz w:val="20"/>
        </w:rPr>
        <w:t>Condensed Consolidated Statements of Comprehensive Loss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both"/>
        <w:rPr/>
      </w:pPr>
      <w:r>
        <w:rPr/>
        <w:t> </w:t>
      </w:r>
    </w:p>
    <w:tbl>
      <w:tblPr>
        <w:tblW w:w="9852" w:type="dxa"/>
        <w:jc w:val="left"/>
        <w:tblInd w:w="0" w:type="dxa"/>
        <w:tblLayout w:type="fixed"/>
        <w:tblCellMar>
          <w:top w:w="28" w:type="dxa"/>
          <w:left w:w="28" w:type="dxa"/>
          <w:bottom w:w="28" w:type="dxa"/>
          <w:right w:w="28" w:type="dxa"/>
        </w:tblCellMar>
      </w:tblPr>
      <w:tblGrid>
        <w:gridCol w:w="4286"/>
        <w:gridCol w:w="146"/>
        <w:gridCol w:w="211"/>
        <w:gridCol w:w="736"/>
        <w:gridCol w:w="166"/>
        <w:gridCol w:w="146"/>
        <w:gridCol w:w="211"/>
        <w:gridCol w:w="736"/>
        <w:gridCol w:w="166"/>
        <w:gridCol w:w="146"/>
        <w:gridCol w:w="211"/>
        <w:gridCol w:w="736"/>
        <w:gridCol w:w="166"/>
        <w:gridCol w:w="146"/>
        <w:gridCol w:w="211"/>
        <w:gridCol w:w="841"/>
        <w:gridCol w:w="591"/>
      </w:tblGrid>
      <w:tr>
        <w:trPr/>
        <w:tc>
          <w:tcPr>
            <w:tcW w:w="4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(103,512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(103,615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See accompanying notes to unaudited condensed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ANNEXON, INC.</w:t>
      </w:r>
    </w:p>
    <w:p>
      <w:pPr>
        <w:pStyle w:val="TextBody"/>
        <w:bidi w:val="0"/>
        <w:jc w:val="center"/>
        <w:rPr>
          <w:rFonts w:ascii="Times New Roman" w:hAnsi="Times New Roman"/>
          <w:b/>
          <w:color w:val="000000"/>
          <w:sz w:val="20"/>
        </w:rPr>
      </w:pPr>
      <w:bookmarkStart w:id="5" w:name="condensed_consolidated_statements_stockh"/>
      <w:bookmarkEnd w:id="5"/>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1352" w:type="dxa"/>
        <w:jc w:val="left"/>
        <w:tblInd w:w="0" w:type="dxa"/>
        <w:tblLayout w:type="fixed"/>
        <w:tblCellMar>
          <w:top w:w="28" w:type="dxa"/>
          <w:left w:w="28" w:type="dxa"/>
          <w:bottom w:w="28" w:type="dxa"/>
          <w:right w:w="28" w:type="dxa"/>
        </w:tblCellMar>
      </w:tblPr>
      <w:tblGrid>
        <w:gridCol w:w="1586"/>
        <w:gridCol w:w="546"/>
        <w:gridCol w:w="146"/>
        <w:gridCol w:w="1006"/>
        <w:gridCol w:w="146"/>
        <w:gridCol w:w="146"/>
        <w:gridCol w:w="196"/>
        <w:gridCol w:w="376"/>
        <w:gridCol w:w="146"/>
        <w:gridCol w:w="146"/>
        <w:gridCol w:w="196"/>
        <w:gridCol w:w="826"/>
        <w:gridCol w:w="166"/>
        <w:gridCol w:w="146"/>
        <w:gridCol w:w="472"/>
        <w:gridCol w:w="834"/>
        <w:gridCol w:w="166"/>
        <w:gridCol w:w="146"/>
        <w:gridCol w:w="203"/>
        <w:gridCol w:w="923"/>
        <w:gridCol w:w="566"/>
        <w:gridCol w:w="546"/>
        <w:gridCol w:w="245"/>
        <w:gridCol w:w="866"/>
        <w:gridCol w:w="611"/>
      </w:tblGrid>
      <w:tr>
        <w:trPr/>
        <w:tc>
          <w:tcPr>
            <w:tcW w:w="158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8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8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as of December 31, 2025</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149,362,800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1,128,917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(917,389</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211,648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Exercise of stock options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Restricted stock vested in the period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 xml:space="preserve">Issuance of common stock, net of </w:t>
              <w:br/>
              <w:t>  issuance costs $909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6,049,762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32,694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Exercise of pre-funded warrants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6,526,508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comprehensive loss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(44,142</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(44,142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as of March 31, 2026</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162,501,717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1,165,983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(961,531</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Exercise of stock options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 xml:space="preserve">Issuance of common stock, net of </w:t>
              <w:br/>
              <w:t>  issuance costs $1,150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5,734,361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Exercise of pre-funded warrants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5,998,871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 xml:space="preserve">Issuance of common stock per Employee </w:t>
              <w:br/>
              <w:t>  Stock Purchase Plan purchase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comprehensive loss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(55,348</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as of June 30, 2026</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174,604,198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1,202,847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(1,016,879</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186,061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unaudited condensed consolidated financial statements.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ANNEXON,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46"/>
        <w:gridCol w:w="146"/>
        <w:gridCol w:w="146"/>
        <w:gridCol w:w="1006"/>
        <w:gridCol w:w="146"/>
        <w:gridCol w:w="146"/>
        <w:gridCol w:w="196"/>
        <w:gridCol w:w="376"/>
        <w:gridCol w:w="146"/>
        <w:gridCol w:w="146"/>
        <w:gridCol w:w="196"/>
        <w:gridCol w:w="826"/>
        <w:gridCol w:w="146"/>
        <w:gridCol w:w="146"/>
        <w:gridCol w:w="408"/>
        <w:gridCol w:w="908"/>
        <w:gridCol w:w="166"/>
        <w:gridCol w:w="146"/>
        <w:gridCol w:w="233"/>
        <w:gridCol w:w="893"/>
        <w:gridCol w:w="166"/>
        <w:gridCol w:w="146"/>
        <w:gridCol w:w="245"/>
        <w:gridCol w:w="867"/>
        <w:gridCol w:w="613"/>
      </w:tblGrid>
      <w:tr>
        <w:trPr/>
        <w:tc>
          <w:tcPr>
            <w:tcW w:w="1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109,381,556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293,105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Restricted stock vested in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(54,356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109,714,404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1,008,825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243,788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 xml:space="preserve">Issuance of common stock per Employee </w:t>
              <w:br/>
              <w:t>  Stock Purchase Plan 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(49,156</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109,832,147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1,013,211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199,017</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ANNEXON, INC.</w:t>
      </w:r>
    </w:p>
    <w:p>
      <w:pPr>
        <w:pStyle w:val="TextBody"/>
        <w:bidi w:val="0"/>
        <w:jc w:val="center"/>
        <w:rPr>
          <w:rFonts w:ascii="Times New Roman" w:hAnsi="Times New Roman"/>
          <w:sz w:val="20"/>
        </w:rPr>
      </w:pPr>
      <w:bookmarkStart w:id="6" w:name="condensed_consolidated_statements_cash_f"/>
      <w:bookmarkEnd w:id="6"/>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both"/>
        <w:rPr/>
      </w:pPr>
      <w:r>
        <w:rPr/>
        <w:t> </w:t>
      </w:r>
    </w:p>
    <w:tbl>
      <w:tblPr>
        <w:tblW w:w="8839" w:type="dxa"/>
        <w:jc w:val="left"/>
        <w:tblInd w:w="0" w:type="dxa"/>
        <w:tblLayout w:type="fixed"/>
        <w:tblCellMar>
          <w:top w:w="28" w:type="dxa"/>
          <w:left w:w="28" w:type="dxa"/>
          <w:bottom w:w="28" w:type="dxa"/>
          <w:right w:w="28" w:type="dxa"/>
        </w:tblCellMar>
      </w:tblPr>
      <w:tblGrid>
        <w:gridCol w:w="5536"/>
        <w:gridCol w:w="146"/>
        <w:gridCol w:w="196"/>
        <w:gridCol w:w="691"/>
        <w:gridCol w:w="166"/>
        <w:gridCol w:w="146"/>
        <w:gridCol w:w="196"/>
        <w:gridCol w:w="751"/>
        <w:gridCol w:w="1011"/>
      </w:tblGrid>
      <w:tr>
        <w:trPr/>
        <w:tc>
          <w:tcPr>
            <w:tcW w:w="5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(103,512</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Accretion of discount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Reduction in the carrying amount of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(1,342</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(88,126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Purchases of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(120,509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maturities of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291,300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170,702</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the 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Employee Stock Purchase Plan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the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Payment of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82,788</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163,083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50,530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200,302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133,320</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amounts included in the measurement of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2,518</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offering costs included in 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offering costs included in 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Deemed dividend on modification of 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1,857</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See accompanying notes to unaudited condensed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ANNEXON, INC.</w:t>
      </w:r>
    </w:p>
    <w:p>
      <w:pPr>
        <w:pStyle w:val="TextBody"/>
        <w:bidi w:val="0"/>
        <w:jc w:val="center"/>
        <w:rPr>
          <w:rFonts w:ascii="Times New Roman" w:hAnsi="Times New Roman"/>
          <w:b/>
          <w:color w:val="000000"/>
          <w:sz w:val="20"/>
        </w:rPr>
      </w:pPr>
      <w:bookmarkStart w:id="7" w:name="notes_to_condensed_consolidated_financia"/>
      <w:bookmarkEnd w:id="7"/>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 Organization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Annexon, Inc., or the Company, is a biopharmaceutical company advancing the next generation platform of targeted immunotherapies aimed at complement-mediated neuroinflammatory diseases that collectively impact nearly 10 million people worldwide. The Company is located in Brisbane, California and was incorporated in Delaware in March 2011.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wholly-owned subsidiary, Annexon Biosciences Australia Pty Ltd, or the Subsidiary, is a proprietary limited company incorporated in 2016 and domiciled in Australia.</w:t>
      </w:r>
    </w:p>
    <w:p>
      <w:pPr>
        <w:pStyle w:val="TextBody"/>
        <w:bidi w:val="0"/>
        <w:spacing w:before="360" w:after="283"/>
        <w:jc w:val="both"/>
        <w:rPr>
          <w:rFonts w:ascii="Times New Roman" w:hAnsi="Times New Roman"/>
          <w:sz w:val="20"/>
        </w:rPr>
      </w:pPr>
      <w:r>
        <w:rPr>
          <w:rFonts w:ascii="Times New Roman" w:hAnsi="Times New Roman"/>
          <w:b/>
          <w:i/>
          <w:color w:val="000000"/>
          <w:sz w:val="20"/>
        </w:rPr>
        <w:t>Liquidity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the Company has been involved primarily in performing research and development activities, conducting clinical trials, hiring personnel, and raising capital to support and expand these activities. The Company has experienced losses and negative cash flows from operations since its inception and, as of June 30, 2026, had an accumulated deficit of approximately $1.0 billion and cash and cash equivalents and short-term investments of $209.2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historically funded its operations through the issuance of shares of its common stock and warrants. Based on projected activities, management projects that existing cash and cash equivalents and short-term investments will enable the Company to fund its operating expenses and capital expenditure requirements for at least twelve months from the date of issuance of these financial statements. The Company’s future viability beyond that point is dependent on its ability to achieve development and regulatory milestones and obtain additional funding. Management expects to continue to incur losses and negative cash flows from operations for at least the next several years. There are uncertainties associated with the Company’s ability to (1) obtain additional equity or debt financing on terms that are favorable to the Company, (2) enter into collaborative agreements with strategic partners, and (3) succeed in its future operations. If the Company is not able to obtain the required funding for its operations or is not able to obtain funding on terms that are favorable to the Company, it could be forced to delay, reduce or eliminate its research and development programs and its business could be materially harmed.</w:t>
      </w:r>
    </w:p>
    <w:p>
      <w:pPr>
        <w:pStyle w:val="TextBody"/>
        <w:bidi w:val="0"/>
        <w:spacing w:before="360" w:after="283"/>
        <w:jc w:val="both"/>
        <w:rPr>
          <w:rFonts w:ascii="Times New Roman" w:hAnsi="Times New Roman"/>
          <w:sz w:val="20"/>
        </w:rPr>
      </w:pPr>
      <w:r>
        <w:rPr>
          <w:rFonts w:ascii="Times New Roman" w:hAnsi="Times New Roman"/>
          <w:b/>
          <w:color w:val="000000"/>
          <w:sz w:val="20"/>
        </w:rPr>
        <w:t>2. Basis of Presentation and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generally accepted accounting principles in the United States, or GAAP, and applicable rules and regulations of the Securities and Exchange Commission, or SEC, regarding interim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condensed consolidated balance sheet as of June 30, 2026, the condensed consolidated statements of operations, comprehensive loss, and stockholders’ equity for the three and six months ended June 30, 2026 and 2025 and the condensed consolidated statements of cash flows for the six months ended June 30, 2026 and 2025 are unaudited. These unaudited condensed consolidated financial statements have been prepared on the same basis as the annual audited consolidated financial statements and, in the opinion of management, reflect all adjustments, which include only normal recurring adjustments, necessary to present fairly the Company’s consolidated financial position, results of operations and cash flows for the interim period presented. The financial data and other financial information contained in these notes to the condensed consolidated financial statements related to the three month periods are also unaudited. The results of operations for the three and six months ended June 30, 2026 are not necessarily indicative of the results to be expected for the year ending December 31, 2026 or for any other future annual or interim period. The condensed consolidated balance sheet as of December 31, 2025 included herein was derived from the audited consolidated financial statements as of that date. These unaudited condensed consolidated financial statements should be read in conjunction with the Company's audited consolidated financial statements included in the Company’s Annual Report on Form 10-K for the year ended December 31, 2025, filed with the SEC on March 30, 2026.</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financial statements in conformity with accounting principles generally accepted in the United States of America, or GAAP, requires management to make estimates and assumptions that affect the reported amounts of assets and liabilities and disclosure of contingent assets and liabilities at the date of the financial statements and the reported expenses during the reporting period. Management evaluates its estimates, including but not limited to the fair value of investments, incremental borrowing rate for operating lease right-of-use assets and liabilities, valuation of deferred tax assets and uncertain tax positions (including valuation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ANNEXON,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allowance), clinical trial accruals and stock-based compensation. The Company evaluates its estimates and assumptions on an ongoing basis using historical experience and other factors and adjusts those estimates and assumptions when facts and circumstances dictate. Actual results could differ from those estimates.</w:t>
      </w:r>
    </w:p>
    <w:p>
      <w:pPr>
        <w:pStyle w:val="TextBody"/>
        <w:bidi w:val="0"/>
        <w:spacing w:before="360" w:after="283"/>
        <w:jc w:val="both"/>
        <w:rPr>
          <w:rFonts w:ascii="Times New Roman" w:hAnsi="Times New Roman"/>
          <w:sz w:val="20"/>
        </w:rPr>
      </w:pPr>
      <w:r>
        <w:rPr>
          <w:rFonts w:ascii="Times New Roman" w:hAnsi="Times New Roman"/>
          <w:b/>
          <w:i/>
          <w:color w:val="000000"/>
          <w:sz w:val="20"/>
        </w:rPr>
        <w:t>Principles of Consolidation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condensed consolidated financial statements include the operations of Annexon, Inc. and its wholly-owned subsidiary and include the results of operations and cash flows of these entities. All intercompany balances and transactions have been eliminated in consolidation.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Summary of Significant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Reference is made to Note 2, Summary of Significant Accounting Policies, in the Company’s 2025 Form 10-K filed on March 30, 2026 for a detailed description of significant accounting policies. There have been no significant changes to the Company’s accounting policies as disclosed in its 2025 Form 10-K.</w:t>
      </w:r>
    </w:p>
    <w:p>
      <w:pPr>
        <w:pStyle w:val="TextBody"/>
        <w:bidi w:val="0"/>
        <w:spacing w:before="360" w:after="283"/>
        <w:jc w:val="both"/>
        <w:rPr>
          <w:rFonts w:ascii="Times New Roman" w:hAnsi="Times New Roman"/>
          <w:sz w:val="20"/>
        </w:rPr>
      </w:pPr>
      <w:r>
        <w:rPr>
          <w:rFonts w:ascii="Times New Roman" w:hAnsi="Times New Roman"/>
          <w:b/>
          <w:i/>
          <w:color w:val="000000"/>
          <w:sz w:val="20"/>
        </w:rPr>
        <w:t>Recently Issued Accounting Pronouncements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Disaggregation of Income Statement Expenses</w:t>
      </w:r>
      <w:r>
        <w:rPr>
          <w:rFonts w:ascii="Times New Roman" w:hAnsi="Times New Roman"/>
          <w:color w:val="000000"/>
          <w:sz w:val="20"/>
        </w:rPr>
        <w:t>, which requires public entities to disclose additional information about specific expense categories in the notes to the financial statements on an interim and annual basis. This guidance is effective for annual reporting periods beginning after December 15, 2026, and interim periods beginning after December 15, 2027. Early adoption is permitted. The Company is currently evaluating the impact of this guidance on its consolidated financial statements.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 Targeted Improvements to the Accounting for Internal-Use Software</w:t>
      </w:r>
      <w:r>
        <w:rPr>
          <w:rFonts w:ascii="Times New Roman" w:hAnsi="Times New Roman"/>
          <w:color w:val="000000"/>
          <w:sz w:val="20"/>
        </w:rPr>
        <w:t>, which is intended to simplify the capitalization guidance for internal-use software by removing references to project stages and clarifying when capitalization of eligible costs is required. ASU 2025-06 is effective for annual periods beginning after December 15, 2027, and interim periods within those fiscal years. Early adoption is permitted. The Company is currently evaluating the impact of this guidance on its consolidated financial statements.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The ASU clarifies and reorganizes interim reporting guidance, including disclosure requirements related to events occurring since the end of the most recent annual reporting period, and improves the presentation and usability of interim financial statement disclosures. The ASU is effective for interim reporting periods within fiscal years beginning after December 15, 2027, with early adoption permitted. The Company is currently evaluating the impact of this guidance on its consolidated financial statements.</w:t>
      </w:r>
    </w:p>
    <w:p>
      <w:pPr>
        <w:pStyle w:val="TextBody"/>
        <w:bidi w:val="0"/>
        <w:spacing w:before="360" w:after="283"/>
        <w:jc w:val="both"/>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Level 1 Inputs:</w:t>
      </w:r>
      <w:r>
        <w:rPr>
          <w:color w:val="000000"/>
        </w:rPr>
        <w:t xml:space="preserve"> </w:t>
      </w:r>
      <w:r>
        <w:rPr>
          <w:rFonts w:ascii="Times New Roman" w:hAnsi="Times New Roman"/>
          <w:color w:val="000000"/>
          <w:sz w:val="20"/>
        </w:rPr>
        <w:t>Unadjusted quoted prices in active markets for identical assets or liabilities accessible to the reporting entity at the measurement date.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Level 2 Inputs:</w:t>
      </w:r>
      <w:r>
        <w:rPr>
          <w:color w:val="000000"/>
        </w:rPr>
        <w:t xml:space="preserve"> </w:t>
      </w:r>
      <w:r>
        <w:rPr>
          <w:rFonts w:ascii="Times New Roman" w:hAnsi="Times New Roman"/>
          <w:color w:val="000000"/>
          <w:sz w:val="20"/>
        </w:rPr>
        <w:t>Other than quoted prices included in Level 1 inputs that are observable for the asset or liability, either directly or indirectly, for substantially the full term of the asset or liability.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Level 3 Inputs:</w:t>
      </w:r>
      <w:r>
        <w:rPr>
          <w:color w:val="000000"/>
        </w:rPr>
        <w:t xml:space="preserve"> </w:t>
      </w:r>
      <w:r>
        <w:rPr>
          <w:rFonts w:ascii="Times New Roman" w:hAnsi="Times New Roman"/>
          <w:color w:val="000000"/>
          <w:sz w:val="20"/>
        </w:rPr>
        <w:t>Unobservable inputs for the asset or liability used to measure fair value to the extent that observable inputs are not available, thereby allowing for situations in which there is little, if any, market activity for the asset or liability at measurement date.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ANNEXON,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 recurring basis, the Company measures certain financial assets and liabilities at fair value. The following tables summarize the fair value of the Company’s financial assets measured at fair value on a recurring basis by level within the fair value hierarchy (in thousands):</w:t>
      </w:r>
    </w:p>
    <w:p>
      <w:pPr>
        <w:pStyle w:val="TextBody"/>
        <w:bidi w:val="0"/>
        <w:jc w:val="left"/>
        <w:rPr/>
      </w:pPr>
      <w:r>
        <w:rPr/>
        <w:t> </w:t>
      </w:r>
    </w:p>
    <w:tbl>
      <w:tblPr>
        <w:tblW w:w="9217" w:type="dxa"/>
        <w:jc w:val="left"/>
        <w:tblInd w:w="0" w:type="dxa"/>
        <w:tblLayout w:type="fixed"/>
        <w:tblCellMar>
          <w:top w:w="28" w:type="dxa"/>
          <w:left w:w="28" w:type="dxa"/>
          <w:bottom w:w="28" w:type="dxa"/>
          <w:right w:w="28" w:type="dxa"/>
        </w:tblCellMar>
      </w:tblPr>
      <w:tblGrid>
        <w:gridCol w:w="2846"/>
        <w:gridCol w:w="146"/>
        <w:gridCol w:w="856"/>
        <w:gridCol w:w="146"/>
        <w:gridCol w:w="211"/>
        <w:gridCol w:w="781"/>
        <w:gridCol w:w="146"/>
        <w:gridCol w:w="146"/>
        <w:gridCol w:w="335"/>
        <w:gridCol w:w="551"/>
        <w:gridCol w:w="146"/>
        <w:gridCol w:w="146"/>
        <w:gridCol w:w="335"/>
        <w:gridCol w:w="551"/>
        <w:gridCol w:w="146"/>
        <w:gridCol w:w="146"/>
        <w:gridCol w:w="211"/>
        <w:gridCol w:w="781"/>
        <w:gridCol w:w="591"/>
      </w:tblGrid>
      <w:tr>
        <w:trPr/>
        <w:tc>
          <w:tcPr>
            <w:tcW w:w="2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185,778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195,751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217" w:type="dxa"/>
        <w:jc w:val="left"/>
        <w:tblInd w:w="0" w:type="dxa"/>
        <w:tblLayout w:type="fixed"/>
        <w:tblCellMar>
          <w:top w:w="28" w:type="dxa"/>
          <w:left w:w="28" w:type="dxa"/>
          <w:bottom w:w="28" w:type="dxa"/>
          <w:right w:w="28" w:type="dxa"/>
        </w:tblCellMar>
      </w:tblPr>
      <w:tblGrid>
        <w:gridCol w:w="2846"/>
        <w:gridCol w:w="146"/>
        <w:gridCol w:w="856"/>
        <w:gridCol w:w="146"/>
        <w:gridCol w:w="211"/>
        <w:gridCol w:w="781"/>
        <w:gridCol w:w="146"/>
        <w:gridCol w:w="146"/>
        <w:gridCol w:w="335"/>
        <w:gridCol w:w="551"/>
        <w:gridCol w:w="146"/>
        <w:gridCol w:w="146"/>
        <w:gridCol w:w="335"/>
        <w:gridCol w:w="551"/>
        <w:gridCol w:w="146"/>
        <w:gridCol w:w="146"/>
        <w:gridCol w:w="211"/>
        <w:gridCol w:w="781"/>
        <w:gridCol w:w="591"/>
      </w:tblGrid>
      <w:tr>
        <w:trPr/>
        <w:tc>
          <w:tcPr>
            <w:tcW w:w="2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116,181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160,038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76,294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76,294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236,332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 of the investments held as of June 30, 2026, had original maturities of less than two years. As of June 30, 2026, all of the investments are scheduled to mature within 12 months. During the three and six months ended June 30, 2026, the Company did not recognize any credit losses. The Company determined that the decline in fair value of debt securities was not due to credit-related factors, and no allowance for expected credit losses was recorded as of June 30, 2026. There were nominal unrealized losses as of June 30, 2026, and no investments have been in the loss position for more than 12 months. However, the Company is planning to hold these securities until maturity and expects to recover the amortized cost basis.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and six months ended June 30, 2026 and 2025, the Company recognized no material realized gains or losses on financial instruments.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 Balance Sheet Components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considers all highly liquid instruments with an original maturity of three months or less at time of purchase to be cash equivalents. Cash equivalents, which include amounts invested in money market funds and government bonds, are stated at fair value.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Restricted cash as of June 30, 2026 relates to the letters of credit established for the Company’s office leases.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ANNEXON,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reported within the unaudited condensed consolidated balance sheets that sum to the total of the same amounts shown in the unaudited condensed consolidated statements of cash flows (in thousands):</w:t>
      </w:r>
    </w:p>
    <w:p>
      <w:pPr>
        <w:pStyle w:val="TextBody"/>
        <w:bidi w:val="0"/>
        <w:jc w:val="both"/>
        <w:rPr/>
      </w:pPr>
      <w:r>
        <w:rPr/>
        <w:t> </w:t>
      </w:r>
    </w:p>
    <w:tbl>
      <w:tblPr>
        <w:tblW w:w="6627" w:type="dxa"/>
        <w:jc w:val="left"/>
        <w:tblInd w:w="0" w:type="dxa"/>
        <w:tblLayout w:type="fixed"/>
        <w:tblCellMar>
          <w:top w:w="28" w:type="dxa"/>
          <w:left w:w="28" w:type="dxa"/>
          <w:bottom w:w="28" w:type="dxa"/>
          <w:right w:w="28" w:type="dxa"/>
        </w:tblCellMar>
      </w:tblPr>
      <w:tblGrid>
        <w:gridCol w:w="3711"/>
        <w:gridCol w:w="146"/>
        <w:gridCol w:w="211"/>
        <w:gridCol w:w="781"/>
        <w:gridCol w:w="146"/>
        <w:gridCol w:w="146"/>
        <w:gridCol w:w="233"/>
        <w:gridCol w:w="862"/>
        <w:gridCol w:w="391"/>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net, consisted of the following (in thousands):</w:t>
      </w:r>
    </w:p>
    <w:p>
      <w:pPr>
        <w:pStyle w:val="TextBody"/>
        <w:bidi w:val="0"/>
        <w:jc w:val="both"/>
        <w:rPr/>
      </w:pPr>
      <w:r>
        <w:rPr/>
        <w:t> </w:t>
      </w:r>
    </w:p>
    <w:tbl>
      <w:tblPr>
        <w:tblW w:w="6007" w:type="dxa"/>
        <w:jc w:val="left"/>
        <w:tblInd w:w="0" w:type="dxa"/>
        <w:tblLayout w:type="fixed"/>
        <w:tblCellMar>
          <w:top w:w="28" w:type="dxa"/>
          <w:left w:w="28" w:type="dxa"/>
          <w:bottom w:w="28" w:type="dxa"/>
          <w:right w:w="28" w:type="dxa"/>
        </w:tblCellMar>
      </w:tblPr>
      <w:tblGrid>
        <w:gridCol w:w="3096"/>
        <w:gridCol w:w="146"/>
        <w:gridCol w:w="211"/>
        <w:gridCol w:w="736"/>
        <w:gridCol w:w="166"/>
        <w:gridCol w:w="146"/>
        <w:gridCol w:w="260"/>
        <w:gridCol w:w="835"/>
        <w:gridCol w:w="411"/>
      </w:tblGrid>
      <w:tr>
        <w:trPr/>
        <w:tc>
          <w:tcPr>
            <w:tcW w:w="3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sz w:val="20"/>
        </w:rPr>
      </w:pPr>
      <w:r>
        <w:rPr>
          <w:rFonts w:ascii="Times New Roman" w:hAnsi="Times New Roman"/>
          <w:b/>
          <w:i/>
          <w:color w:val="000000"/>
          <w:sz w:val="20"/>
        </w:rPr>
        <w:t>Accrued and Other Current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and other current liabilities consisted of the following (in thousands):</w:t>
      </w:r>
    </w:p>
    <w:p>
      <w:pPr>
        <w:pStyle w:val="TextBody"/>
        <w:bidi w:val="0"/>
        <w:jc w:val="both"/>
        <w:rPr/>
      </w:pPr>
      <w:r>
        <w:rPr/>
        <w:t> </w:t>
      </w:r>
    </w:p>
    <w:tbl>
      <w:tblPr>
        <w:tblW w:w="6547" w:type="dxa"/>
        <w:jc w:val="left"/>
        <w:tblInd w:w="0" w:type="dxa"/>
        <w:tblLayout w:type="fixed"/>
        <w:tblCellMar>
          <w:top w:w="28" w:type="dxa"/>
          <w:left w:w="28" w:type="dxa"/>
          <w:bottom w:w="28" w:type="dxa"/>
          <w:right w:w="28" w:type="dxa"/>
        </w:tblCellMar>
      </w:tblPr>
      <w:tblGrid>
        <w:gridCol w:w="3736"/>
        <w:gridCol w:w="146"/>
        <w:gridCol w:w="211"/>
        <w:gridCol w:w="676"/>
        <w:gridCol w:w="146"/>
        <w:gridCol w:w="146"/>
        <w:gridCol w:w="260"/>
        <w:gridCol w:w="835"/>
        <w:gridCol w:w="3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and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5. Commitments and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leases its offices and laboratory in Brisbane, California, under a ten-year noncancelable lease agreement that ends in October 2031 with a ten-year renewable option.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 operating lease right-of-use assets were $14.3 million and lease liabilities were $24.7 million on the unaudited condensed consolidated balance sheet. The weighted-average remaining lease term is 5.3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weighted-average incremental borrowing rate used to measure the operating lease liability is 8.4%.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Operating lease costs were $1.9 million for each of the six months ended June 30, 2026 and 2025. Variable lease payments were $1.1 million and $1.4 million for the six months ended June 30, 2026 and 2025,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Future minimum lease payments and related lease liabilities as of June 30, 2026, were as follows:</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ANNEXON,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5898" w:type="dxa"/>
        <w:jc w:val="left"/>
        <w:tblInd w:w="0" w:type="dxa"/>
        <w:tblLayout w:type="fixed"/>
        <w:tblCellMar>
          <w:top w:w="28" w:type="dxa"/>
          <w:left w:w="28" w:type="dxa"/>
          <w:bottom w:w="28" w:type="dxa"/>
          <w:right w:w="28" w:type="dxa"/>
        </w:tblCellMar>
      </w:tblPr>
      <w:tblGrid>
        <w:gridCol w:w="3486"/>
        <w:gridCol w:w="446"/>
        <w:gridCol w:w="303"/>
        <w:gridCol w:w="972"/>
        <w:gridCol w:w="691"/>
      </w:tblGrid>
      <w:tr>
        <w:trPr/>
        <w:tc>
          <w:tcPr>
            <w:tcW w:w="348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center"/>
              <w:rPr/>
            </w:pPr>
            <w:r>
              <w:rPr/>
              <w:t> </w:t>
            </w:r>
          </w:p>
        </w:tc>
      </w:tr>
      <w:tr>
        <w:trPr/>
        <w:tc>
          <w:tcPr>
            <w:tcW w:w="34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2026 (remaining six months)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2027</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2028</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5,615</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2029</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5,812</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2030 and thereafter</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11,173</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undiscounted lease payments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30,661</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Less: Imputed interest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(6,010</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lease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24,651</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Guarantees and Indemnifications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June 30, 2026, the Company did not have any material indemnification claims that were probable or reasonably possible and consequently has not recorded related liabilities.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6. Stockholders’ Equity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2025 Financing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2025, the Company raised net proceeds of approximately $80.5 million after deducting underwriting discounts and offering expenses through the sale of 29,423,075 shares of the Company’s common stock at a price of $2.60 per share and pre-funded warrants to purchase an aggregate of 3,750,000 shares of common stock at a price of $2.599 per share, which equals the per share offering price for the shares of common stock less the $0.001 exercise price for each pre-funded warrant. The pre-funded warrants are immediately exercisable, subject to certain beneficial ownership limitations. The warrants meet the criteria for equity classification and were therefore recorded at fair value as of the grant date as a component of stockholders’ equity within additional paid-in capital.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2024 Financing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2024, the Company raised net proceeds of approximately $116.8 million after deducting underwriting discounts and offering expenses through the sale of 13,001,120 shares of the Company’s common stock, par value $0.001 per share, at a price of $6.25 per share, and pre-funded warrants to purchase an aggregate of 7,000,000 shares of common stock at a price of $6.249 per share, which equals the per share offering price for the shares of common stock less the $0.001 exercise price for each pre-funded warrant. The pre-funded warrants are immediately exercisable, subject to certain beneficial ownership limitations. The warrants meet the criteria for equity classification and were therefore recorded at fair value as of the grant date as a component of stockholders’ equity within additional paid-in capital.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2023 Financing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2023, the Company raised net proceeds of approximately $117.0 million after deducting underwriting discounts and offering expenses through the sale of 25,035,000 shares of the Company’s common stock, par value $0.001 per share at a price of $2.880 per share and pre-funded warrants to purchase an aggregate of 18,379,861 shares of common stock at a price of $2.879 per share, which equals the per share offering price for the shares of common stock less the $0.001 exercise price for each pre-funded warrant. The warrants meet the criteria for equity classification and were therefore recorded at fair value as of the grant date as a component of stockholders’ equity within additional paid-in capital.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2022 Financing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July 2022, the Company raised net proceeds of approximately $122.5 million after deducting fees and expenses through the sale of an aggregate of 9,013,834 shares of common stock, pre-funded warrants to purchase up to 24,696,206 shares of its common stock and accompanying common warrants to purchase up to 8,427,508 shares of its common stock. The offering price per share and accompanying common warrant was $3.87125 per share and the offering price per pre-funded warrant and accompanying common warrant was $3.87025 per share, which equals the per share offering price for the shares of common stock less the $0.001 exercise price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ANNEXON,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each such pre-funded warrant. The pre-funded warrants remain exercisable until exercised in full. The common warrants had an exercise price of $5.806875 per share and, except as described in the next paragraph, expired on June 30, 2025. Both the pre-funded and common warrants were immediately exercisable, subject to beneficial ownership limitations. The warrants meet the criteria for equity classification and were therefore recorded at fair value as of the grant date as a component of stockholders’ equity within additional paid-in capital.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2025, the Company and holders of common warrants exercisable for 6,877,622 shares of the Company’s common stock entered into amendments extending the expiration date of such common warrants to June 30, 2026 and eliminating a cashless exercise feature. The modification resulted in a $1.9 million deemed dividend for the year ended December 31, 2025, recorded to additional paid-in capital with no impact on total stockholders’ equity. The remaining common warrants to purchase 1,226,993 shares of the Company's common stock not subject to these amendments expired unexercised on June 30, 2025. No deemed dividend was recognized during the three and six months ended June 30, 2026. On June 30, 2026, the amended common warrants to purchase 6,877,622 shares of the Company’s common stock expired unexercised.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Pre-Funded and Common Warrants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summarizes warrant activity during the six months ended June 30, 2026 and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55"/>
        <w:gridCol w:w="146"/>
        <w:gridCol w:w="293"/>
        <w:gridCol w:w="1781"/>
        <w:gridCol w:w="166"/>
        <w:gridCol w:w="146"/>
        <w:gridCol w:w="286"/>
        <w:gridCol w:w="1920"/>
        <w:gridCol w:w="166"/>
        <w:gridCol w:w="146"/>
        <w:gridCol w:w="638"/>
        <w:gridCol w:w="1667"/>
        <w:gridCol w:w="595"/>
      </w:tblGrid>
      <w:tr>
        <w:trPr/>
        <w:tc>
          <w:tcPr>
            <w:tcW w:w="22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22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Common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Pre-funded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 Exercise Price</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6,877,622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42,293,577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5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4"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(12,527,778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0.001</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(6,877,622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5.807</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29,765,799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74"/>
        <w:gridCol w:w="146"/>
        <w:gridCol w:w="311"/>
        <w:gridCol w:w="1765"/>
        <w:gridCol w:w="146"/>
        <w:gridCol w:w="146"/>
        <w:gridCol w:w="303"/>
        <w:gridCol w:w="1907"/>
        <w:gridCol w:w="146"/>
        <w:gridCol w:w="146"/>
        <w:gridCol w:w="837"/>
        <w:gridCol w:w="1482"/>
        <w:gridCol w:w="596"/>
      </w:tblGrid>
      <w:tr>
        <w:trPr/>
        <w:tc>
          <w:tcPr>
            <w:tcW w:w="2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Common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Pre-funded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 Exercise Price</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8,104,615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38,543,577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8,104,615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38,543,577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2026, the Company issued an aggregate of 12,525,379 shares of common stock upon the cashless exercise of pre-funded warrants to purchase 12,527,778 shares of common stock. Subsequent to June 30, 2026 and through the date of issuance of these financial statements, the Company issued an aggregate of 14,897,630 shares of common stock upon the cashless exercise of pre-funded warrants to purchase 14,900,000 shares of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At the Market (ATM)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2026, the Company entered into a sales agreement with TD Securities (USA) LLC, or TD Cowen, as sales agent, pursuant to which the Company may offer and sell, from time to time through TD Cowen, at its option, shares of its common stock having an aggregate offering price of up to $150.0 million, or the 2026 ATM program. The Company agreed to pay TD Cowen a commission of up to 3.0% of the aggregate gross proceeds for the common stock sold through the 2026 ATM program. During the six months ended June 30, 2026, the Company sold 5,734,361 shares of common stock under the 2026 ATM program for net proceeds of approximately $31.0 million, after deducting commissions paid to TD Cowen and other offering costs. As of June 30, 2026, approximately $117.8 million remained available under the 2026 ATM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March 2024, the Company entered into a sales agreement with TD Cowen, as sales agent, pursuant to which the Company was permitted to offer and sell shares of its common stock having an aggregate maximum offering price of up to $100.0 million, or 2024 ATM program. During the six months ended June 30, 2026, the Company sold 6,049,762 shares of its common stock under the 2024 ATM program for net proceeds of approximately $32.7 million, after deducting commissions paid to TD Cowen and other offering costs. No sales were made under the 2024 ATM program during the six months ended June 30, 2025. In May 2026, the Company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ANNEXON,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terminated the 2024 ATM program. Approximately $33.3 million remained available under the 2024 ATM program at the time of termination; however, no further shares of common stock may be sold under the 2024 ATM program.</w:t>
      </w:r>
    </w:p>
    <w:p>
      <w:pPr>
        <w:pStyle w:val="TextBody"/>
        <w:bidi w:val="0"/>
        <w:spacing w:before="360" w:after="283"/>
        <w:jc w:val="both"/>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reserved the following shares of common stock for issuance as follows:</w:t>
      </w:r>
    </w:p>
    <w:p>
      <w:pPr>
        <w:pStyle w:val="TextBody"/>
        <w:bidi w:val="0"/>
        <w:jc w:val="both"/>
        <w:rPr/>
      </w:pPr>
      <w:r>
        <w:rPr/>
        <w:t> </w:t>
      </w:r>
    </w:p>
    <w:tbl>
      <w:tblPr>
        <w:tblW w:w="8144" w:type="dxa"/>
        <w:jc w:val="left"/>
        <w:tblInd w:w="0" w:type="dxa"/>
        <w:tblLayout w:type="fixed"/>
        <w:tblCellMar>
          <w:top w:w="28" w:type="dxa"/>
          <w:left w:w="28" w:type="dxa"/>
          <w:bottom w:w="28" w:type="dxa"/>
          <w:right w:w="28" w:type="dxa"/>
        </w:tblCellMar>
      </w:tblPr>
      <w:tblGrid>
        <w:gridCol w:w="4951"/>
        <w:gridCol w:w="146"/>
        <w:gridCol w:w="146"/>
        <w:gridCol w:w="1036"/>
        <w:gridCol w:w="146"/>
        <w:gridCol w:w="146"/>
        <w:gridCol w:w="146"/>
        <w:gridCol w:w="1036"/>
        <w:gridCol w:w="391"/>
      </w:tblGrid>
      <w:tr>
        <w:trPr/>
        <w:tc>
          <w:tcPr>
            <w:tcW w:w="4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23,190,315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18,645,325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reserved for 2020 Incentive Award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1,184,877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1,252,847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reserved for 2024 ATM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14,509,176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reserved for 2026 ATM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24,265,639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reserved for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2,800,550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Common stock reserved for 2022 Employment Inducement </w:t>
              <w:br/>
              <w:t>    Award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3,585,793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reserved for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29,765,799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42,293,577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reserved for 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6,877,622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common stock reserved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88,037,074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91,149,767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 Equity Incentive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2020, the Company’s board of directors and stockholders adopted and approved the 2020 Incentive Award Plan, or the 2020 Plan, and the Employee Stock Purchase Plan, or the ESPP, which became effective in connection with the Company’s initial public offering, or the IPO.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may not grant any additional awards under the 2011 Equity Incentive Plan, or the 2011 Plan. The 2011 Plan will continue to govern outstanding equity awards granted thereunder.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2020 Incentive Award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shares of common stock reserved for issuance under the 2020 Plan automatically increases on the first day of January, in an amount equal to 4% of the total number of shares of the Company’s capital stock outstanding on the last day of the preceding year, or a lesser number of shares determined by the Company’s board of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Awards granted under the 2020 Plan expire no later than ten years from the date of grant. For Incentive Stock Options, or ISOs, and Nonstatutory Stock Options, or NSOs, the option price shall not be less than 100% of the estimated fair value on the date of grant. Options granted typically vest over a four-year period but may be granted with different vesting terms. As of June 30, 2026, there were 1,478,515 shares available for issuance under the 2020 Plan.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2022 Employment Inducement Award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2022, the Company’s board of directors adopted the Annexon, Inc. 2022 Employment Inducement Award Plan, as amended, or the Inducement Plan, and together with the 2011 Plan and the 2020 Plan, the Plans. The Inducement Plan was adopted by the Company’s board of directors without stockholder approval pursuant to Nasdaq Marketplace Rule 5635(c)(4), or Rule 5635(c)(4). In accordance with Rule 5635(c)(4), awards made under the Inducement Plan may only be granted to newly hired employees as an inducement material to the employees entering into employment with the Company. Awards granted under the Inducement Plan expire no later than ten years from the date of grant. An aggregate of 7,850,000 shares of common stock were reserved for issuance under the Inducement Plan. As of June 30, 2026, there were 2,843,740 shares available for issuance under the Inducement Plan.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ANNEXON,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stock option activity under the Plans for the period:</w:t>
      </w:r>
    </w:p>
    <w:p>
      <w:pPr>
        <w:pStyle w:val="TextBody"/>
        <w:bidi w:val="0"/>
        <w:jc w:val="both"/>
        <w:rPr/>
      </w:pPr>
      <w:r>
        <w:rPr/>
        <w:t> </w:t>
      </w:r>
    </w:p>
    <w:tbl>
      <w:tblPr>
        <w:tblW w:w="9203" w:type="dxa"/>
        <w:jc w:val="left"/>
        <w:tblInd w:w="0" w:type="dxa"/>
        <w:tblLayout w:type="fixed"/>
        <w:tblCellMar>
          <w:top w:w="28" w:type="dxa"/>
          <w:left w:w="28" w:type="dxa"/>
          <w:bottom w:w="28" w:type="dxa"/>
          <w:right w:w="28" w:type="dxa"/>
        </w:tblCellMar>
      </w:tblPr>
      <w:tblGrid>
        <w:gridCol w:w="3616"/>
        <w:gridCol w:w="146"/>
        <w:gridCol w:w="146"/>
        <w:gridCol w:w="1036"/>
        <w:gridCol w:w="166"/>
        <w:gridCol w:w="146"/>
        <w:gridCol w:w="266"/>
        <w:gridCol w:w="590"/>
        <w:gridCol w:w="146"/>
        <w:gridCol w:w="146"/>
        <w:gridCol w:w="236"/>
        <w:gridCol w:w="755"/>
        <w:gridCol w:w="146"/>
        <w:gridCol w:w="146"/>
        <w:gridCol w:w="267"/>
        <w:gridCol w:w="858"/>
        <w:gridCol w:w="3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18,645,325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5,537,313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23,190,315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12,147,453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total intrinsic value of options exercised was $0.5 million and $0.1 million for the six months ended June 30, 2026, and 2025, respectively. The intrinsic value is the difference between the fair value of the Company’s common stock at the time of exercise and the exercise price of the stock option.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weighted-average grant date fair value of options granted to employees during the six months ended June 30, 2026 and 2025 was $3.95 and $1.97 per share,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 total unrecognized stock-based compensation cost related to outstanding unvested stock options was $36.9 million, which the Company expects to recognize over an estimated weighted-average period of 2.9 years.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RSUs are share awards that entitle the holder to receive freely tradeable shares of the Company’s common stock upon vesting. The RSUs cannot be transferred and the awards are subject to forfeiture if the holder’s employment terminates prior to the release of the vesting restrictions. The RSUs generally vest over a three-year period in equal amounts on an annual basis, provided the employee remains continuously employed with the Company. The fair value of the RSUs is equal to the closing price of the Company’s common stock on the grant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summary of RSU activity under the Company’s equity incentive plan and related information is as follows:</w:t>
      </w:r>
    </w:p>
    <w:p>
      <w:pPr>
        <w:pStyle w:val="TextBody"/>
        <w:bidi w:val="0"/>
        <w:jc w:val="both"/>
        <w:rPr/>
      </w:pPr>
      <w:r>
        <w:rPr/>
        <w:t> </w:t>
      </w:r>
    </w:p>
    <w:tbl>
      <w:tblPr>
        <w:tblW w:w="9130" w:type="dxa"/>
        <w:jc w:val="left"/>
        <w:tblInd w:w="0" w:type="dxa"/>
        <w:tblLayout w:type="fixed"/>
        <w:tblCellMar>
          <w:top w:w="28" w:type="dxa"/>
          <w:left w:w="28" w:type="dxa"/>
          <w:bottom w:w="28" w:type="dxa"/>
          <w:right w:w="28" w:type="dxa"/>
        </w:tblCellMar>
      </w:tblPr>
      <w:tblGrid>
        <w:gridCol w:w="2926"/>
        <w:gridCol w:w="146"/>
        <w:gridCol w:w="191"/>
        <w:gridCol w:w="1219"/>
        <w:gridCol w:w="166"/>
        <w:gridCol w:w="146"/>
        <w:gridCol w:w="1228"/>
        <w:gridCol w:w="2717"/>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2,388,473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unrecognized stock-based compensation expense related to outstanding unvested RSUs was $9.7 million, which is expected to be recognized over a weighted-average period of 2.4 years.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ESPP enables eligible employees to purchase shares of the Company’s common stock at the end of each offering period at a price equal to 85% of the fair market value of the shares on the first business day or the last business day of the offering period, whichever is lower. Eligible employees generally include all employees. Share purchases are funded through payroll deductions of at least 1%, and up to 15% of an employee’s eligible compensation for each payroll period. The number of shares reserved for issuance under the ESPP increase automatically on the first day of each fiscal year, by a number equal to, 1% of the shares of common stock outstanding on the last day of the immediately preceding fiscal year, or such number of shares determined by the Company’s board of directors. As of June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ANNEXON,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30, 2026, 4,104,593 shares were available for future purchase. The ESPP generally provides for six-month consecutive offering periods beginning on May 16 and November 16 of each year. The ESPP is a compensatory plan as defined by the authoritative guidance for stock compensation. As such, stock-based compensation expense has been recorded for the three and six months ended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stock-based compensation expense related to the ESPP were not material for each of the six months ended June 30, 2026 and 2025.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total stock-based compensation expense recognized was as follows (in thousands):</w:t>
      </w:r>
    </w:p>
    <w:p>
      <w:pPr>
        <w:pStyle w:val="TextBody"/>
        <w:bidi w:val="0"/>
        <w:jc w:val="both"/>
        <w:rPr/>
      </w:pPr>
      <w:r>
        <w:rPr/>
        <w:t> </w:t>
      </w:r>
    </w:p>
    <w:tbl>
      <w:tblPr>
        <w:tblW w:w="8192" w:type="dxa"/>
        <w:jc w:val="left"/>
        <w:tblInd w:w="0" w:type="dxa"/>
        <w:tblLayout w:type="fixed"/>
        <w:tblCellMar>
          <w:top w:w="28" w:type="dxa"/>
          <w:left w:w="28" w:type="dxa"/>
          <w:bottom w:w="28" w:type="dxa"/>
          <w:right w:w="28" w:type="dxa"/>
        </w:tblCellMar>
      </w:tblPr>
      <w:tblGrid>
        <w:gridCol w:w="3651"/>
        <w:gridCol w:w="146"/>
        <w:gridCol w:w="211"/>
        <w:gridCol w:w="571"/>
        <w:gridCol w:w="146"/>
        <w:gridCol w:w="146"/>
        <w:gridCol w:w="211"/>
        <w:gridCol w:w="571"/>
        <w:gridCol w:w="146"/>
        <w:gridCol w:w="146"/>
        <w:gridCol w:w="211"/>
        <w:gridCol w:w="571"/>
        <w:gridCol w:w="146"/>
        <w:gridCol w:w="146"/>
        <w:gridCol w:w="211"/>
        <w:gridCol w:w="571"/>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determine the value of stock option awards for stock-based compensation purposes, the Company uses the Black-Scholes option pricing model and the assumptions discussed below. Each of these inputs is subjective and generally requires significant judgment.</w:t>
      </w:r>
    </w:p>
    <w:p>
      <w:pPr>
        <w:pStyle w:val="TextBody"/>
        <w:bidi w:val="0"/>
        <w:spacing w:before="240" w:after="283"/>
        <w:jc w:val="both"/>
        <w:rPr>
          <w:rFonts w:ascii="Times New Roman" w:hAnsi="Times New Roman"/>
          <w:sz w:val="20"/>
        </w:rPr>
      </w:pPr>
      <w:r>
        <w:rPr>
          <w:rFonts w:ascii="Times New Roman" w:hAnsi="Times New Roman"/>
          <w:i/>
          <w:color w:val="000000"/>
          <w:sz w:val="20"/>
        </w:rPr>
        <w:t>Fair Value of Common Stock</w:t>
      </w:r>
      <w:r>
        <w:rPr>
          <w:rFonts w:ascii="Times New Roman" w:hAnsi="Times New Roman"/>
          <w:color w:val="000000"/>
          <w:sz w:val="20"/>
        </w:rPr>
        <w:t>—The fair value of each share of underlying common stock is based on the closing price of the Company’s common stock as reported on the date of grant on the Nasdaq Global Select Market.</w:t>
      </w:r>
    </w:p>
    <w:p>
      <w:pPr>
        <w:pStyle w:val="TextBody"/>
        <w:bidi w:val="0"/>
        <w:spacing w:before="240" w:after="283"/>
        <w:jc w:val="both"/>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—The expected term represents the period that the stock-based awards are expected to be outstanding and is determined using the simplified method. The Company continues using the simplified method as it does not have sufficient historical exercise data to provide a reasonable basis upon which to estimate expected term due to the limited period of time its equity shares have been publicly traded.</w:t>
      </w:r>
    </w:p>
    <w:p>
      <w:pPr>
        <w:pStyle w:val="TextBody"/>
        <w:bidi w:val="0"/>
        <w:spacing w:before="240" w:after="283"/>
        <w:jc w:val="both"/>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—Beginning in 2026, the expected volatility assumption is estimated based solely on the historical volatility of the Company’s share trading price for its common stock and is no longer derived from a weighted average that includes comparable publicly traded life sciences companies. Prior to 2026, the expected volatility was estimated based on a weighted volatility using both the Company’s trading history for its common stock and the average volatility for comparable publicly traded life sciences companies over a period equal to the expected term of the stock option grants. The comparable companies were chosen based on similar size, stage in life cycle, or area of specialty.</w:t>
      </w:r>
    </w:p>
    <w:p>
      <w:pPr>
        <w:pStyle w:val="TextBody"/>
        <w:bidi w:val="0"/>
        <w:spacing w:before="240" w:after="283"/>
        <w:jc w:val="both"/>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—The risk-free interest rate is based on the U.S. Treasury zero coupon issues in effect at the time of grant for periods corresponding with the expected term of the option.</w:t>
      </w:r>
    </w:p>
    <w:p>
      <w:pPr>
        <w:pStyle w:val="TextBody"/>
        <w:bidi w:val="0"/>
        <w:spacing w:before="240" w:after="283"/>
        <w:jc w:val="both"/>
        <w:rPr>
          <w:rFonts w:ascii="Times New Roman" w:hAnsi="Times New Roman"/>
          <w:sz w:val="20"/>
        </w:rPr>
      </w:pPr>
      <w:r>
        <w:rPr>
          <w:rFonts w:ascii="Times New Roman" w:hAnsi="Times New Roman"/>
          <w:i/>
          <w:color w:val="000000"/>
          <w:sz w:val="20"/>
        </w:rPr>
        <w:t>Dividend Yield</w:t>
      </w:r>
      <w:r>
        <w:rPr>
          <w:rFonts w:ascii="Times New Roman" w:hAnsi="Times New Roman"/>
          <w:color w:val="000000"/>
          <w:sz w:val="20"/>
        </w:rPr>
        <w:t>—The Company has never paid dividends on its common stock and has no plans to pay dividends on its common stock. Therefore, the Company used an expected dividend yield of zero.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each stock option issued was estimated on the date of grant using the Black-Scholes option pricing model with the following assumptions:</w:t>
      </w:r>
    </w:p>
    <w:p>
      <w:pPr>
        <w:pStyle w:val="TextBody"/>
        <w:bidi w:val="0"/>
        <w:jc w:val="left"/>
        <w:rPr/>
      </w:pPr>
      <w:r>
        <w:rPr/>
        <w:t> </w:t>
      </w:r>
    </w:p>
    <w:tbl>
      <w:tblPr>
        <w:tblW w:w="9069" w:type="dxa"/>
        <w:jc w:val="left"/>
        <w:tblInd w:w="0" w:type="dxa"/>
        <w:tblLayout w:type="fixed"/>
        <w:tblCellMar>
          <w:top w:w="28" w:type="dxa"/>
          <w:left w:w="28" w:type="dxa"/>
          <w:bottom w:w="28" w:type="dxa"/>
          <w:right w:w="28" w:type="dxa"/>
        </w:tblCellMar>
      </w:tblPr>
      <w:tblGrid>
        <w:gridCol w:w="2086"/>
        <w:gridCol w:w="146"/>
        <w:gridCol w:w="448"/>
        <w:gridCol w:w="1067"/>
        <w:gridCol w:w="146"/>
        <w:gridCol w:w="146"/>
        <w:gridCol w:w="1516"/>
        <w:gridCol w:w="146"/>
        <w:gridCol w:w="448"/>
        <w:gridCol w:w="1067"/>
        <w:gridCol w:w="146"/>
        <w:gridCol w:w="146"/>
        <w:gridCol w:w="156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6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5.50 - 6.08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5.50 - 6.08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5.50 - 6.08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5.50 - 6.08</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90.60% - 91.90%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93.70% - 93.80%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90.60% - 92.30%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92.30% - 93.80%</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4.21% - 4.33%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4.03% - 4.15%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3.72% - 4.33%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4.03% - 4.49%</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ANNEXON,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8. 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calculates basic net loss per share by dividing net loss by the weighted-average number of shares of common stock outstanding, excluding restricted common stock. The weighted-average number of shares of common stock used in the basic and diluted net loss per share calculation include pre-funded warrants to purchase up to 29,765,799 shares of common stock, as the pre-funded warrants are exercisable at any time for nominal cash consideration. The Company has generated a net loss in all periods presented, so the basic and diluted net loss per share are the same, as the inclusion of the potentially dilutive securities would be anti-dilutive.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outstanding potentially dilutive shares have been excluded from the calculation of diluted net loss per share due to their anti-dilutive effect:</w:t>
      </w:r>
    </w:p>
    <w:p>
      <w:pPr>
        <w:pStyle w:val="TextBody"/>
        <w:bidi w:val="0"/>
        <w:jc w:val="both"/>
        <w:rPr/>
      </w:pPr>
      <w:r>
        <w:rPr/>
        <w:t> </w:t>
      </w:r>
    </w:p>
    <w:tbl>
      <w:tblPr>
        <w:tblW w:w="10177" w:type="dxa"/>
        <w:jc w:val="left"/>
        <w:tblInd w:w="0" w:type="dxa"/>
        <w:tblLayout w:type="fixed"/>
        <w:tblCellMar>
          <w:top w:w="28" w:type="dxa"/>
          <w:left w:w="28" w:type="dxa"/>
          <w:bottom w:w="28" w:type="dxa"/>
          <w:right w:w="28" w:type="dxa"/>
        </w:tblCellMar>
      </w:tblPr>
      <w:tblGrid>
        <w:gridCol w:w="4036"/>
        <w:gridCol w:w="146"/>
        <w:gridCol w:w="146"/>
        <w:gridCol w:w="1036"/>
        <w:gridCol w:w="146"/>
        <w:gridCol w:w="146"/>
        <w:gridCol w:w="146"/>
        <w:gridCol w:w="1036"/>
        <w:gridCol w:w="146"/>
        <w:gridCol w:w="146"/>
        <w:gridCol w:w="146"/>
        <w:gridCol w:w="1036"/>
        <w:gridCol w:w="146"/>
        <w:gridCol w:w="146"/>
        <w:gridCol w:w="146"/>
        <w:gridCol w:w="1036"/>
        <w:gridCol w:w="3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23,190,315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20,020,180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23,190,315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20,020,180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1,452,999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8,104,615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8,104,615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25,592,509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29,635,978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25,592,509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29,635,978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9. Segment Reporting</w:t>
      </w:r>
    </w:p>
    <w:p>
      <w:pPr>
        <w:pStyle w:val="TextBody"/>
        <w:bidi w:val="0"/>
        <w:spacing w:before="120" w:after="283"/>
        <w:jc w:val="both"/>
        <w:rPr>
          <w:rFonts w:ascii="Times New Roman" w:hAnsi="Times New Roman"/>
          <w:sz w:val="20"/>
        </w:rPr>
      </w:pPr>
      <w:r>
        <w:rPr>
          <w:rFonts w:ascii="Times New Roman" w:hAnsi="Times New Roman"/>
          <w:color w:val="000000"/>
          <w:sz w:val="20"/>
        </w:rPr>
        <w:t>The Company has one reportable segment, which is related to the research and development of its product candidates focused on complement-mediated diseases of the body, brain and eye for which there is significant unmet medical need. The accounting policies of the one reportable segment are the same as those described in the summary of significant accounting policies. See Note 2—</w:t>
      </w:r>
      <w:r>
        <w:rPr>
          <w:rFonts w:ascii="Times New Roman" w:hAnsi="Times New Roman"/>
          <w:i/>
          <w:color w:val="000000"/>
          <w:sz w:val="20"/>
        </w:rPr>
        <w:t>Basis of Presentation and Significant Accounting Policies.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segment is managed on a consolidated basis and the chief operating decision maker, or CODM, uses total operating expenses and consolidated net loss to assess performance, forecast future financial results and allocate resources. In assessing the Company's financial performance and making strategic decisions, the CODM regularly reviews operating expenses by function. This includes a review of budget versus actual expenses and direct program spend, which includes clinical costs, consultant fees, manufacturing expenses, and other direct external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operations for the reportable segment for the three and six months ended June 30, 2026 and 2025 (in thousands):</w:t>
      </w:r>
    </w:p>
    <w:p>
      <w:pPr>
        <w:pStyle w:val="TextBody"/>
        <w:bidi w:val="0"/>
        <w:spacing w:before="120" w:after="283"/>
        <w:jc w:val="both"/>
        <w:rPr/>
      </w:pPr>
      <w:r>
        <w:rPr/>
        <w:t> </w:t>
      </w:r>
    </w:p>
    <w:tbl>
      <w:tblPr>
        <w:tblW w:w="9537" w:type="dxa"/>
        <w:jc w:val="left"/>
        <w:tblInd w:w="0" w:type="dxa"/>
        <w:tblLayout w:type="fixed"/>
        <w:tblCellMar>
          <w:top w:w="28" w:type="dxa"/>
          <w:left w:w="28" w:type="dxa"/>
          <w:bottom w:w="28" w:type="dxa"/>
          <w:right w:w="28" w:type="dxa"/>
        </w:tblCellMar>
      </w:tblPr>
      <w:tblGrid>
        <w:gridCol w:w="4066"/>
        <w:gridCol w:w="146"/>
        <w:gridCol w:w="211"/>
        <w:gridCol w:w="736"/>
        <w:gridCol w:w="166"/>
        <w:gridCol w:w="146"/>
        <w:gridCol w:w="211"/>
        <w:gridCol w:w="736"/>
        <w:gridCol w:w="166"/>
        <w:gridCol w:w="146"/>
        <w:gridCol w:w="211"/>
        <w:gridCol w:w="841"/>
        <w:gridCol w:w="166"/>
        <w:gridCol w:w="146"/>
        <w:gridCol w:w="211"/>
        <w:gridCol w:w="841"/>
        <w:gridCol w:w="3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Research and development - external expenses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 personnel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 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general and administrative expenses</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109,131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Consolidated segment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(103,512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ANNEXON,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__________________</w:t>
      </w:r>
    </w:p>
    <w:p>
      <w:pPr>
        <w:pStyle w:val="TextBody"/>
        <w:bidi w:val="0"/>
        <w:jc w:val="both"/>
        <w:rPr>
          <w:rFonts w:ascii="Times New Roman" w:hAnsi="Times New Roman"/>
          <w:color w:val="000000"/>
          <w:sz w:val="16"/>
        </w:rPr>
      </w:pPr>
      <w:r>
        <w:rPr>
          <w:rFonts w:ascii="Times New Roman" w:hAnsi="Times New Roman"/>
          <w:color w:val="000000"/>
          <w:sz w:val="16"/>
        </w:rPr>
        <w:t>(1) Research and development - external expenses include program expenses, other non-program specific expenses and other research expenses.</w:t>
      </w:r>
    </w:p>
    <w:p>
      <w:pPr>
        <w:pStyle w:val="TextBody"/>
        <w:bidi w:val="0"/>
        <w:jc w:val="both"/>
        <w:rPr>
          <w:rFonts w:ascii="Times New Roman" w:hAnsi="Times New Roman"/>
          <w:color w:val="000000"/>
          <w:sz w:val="16"/>
        </w:rPr>
      </w:pPr>
      <w:r>
        <w:rPr>
          <w:rFonts w:ascii="Times New Roman" w:hAnsi="Times New Roman"/>
          <w:color w:val="000000"/>
          <w:sz w:val="16"/>
        </w:rPr>
        <w:t>(2) Other general and administrative expenses include consulting and professional services fees for business development, legal, accounting, tax, and facilities costs.</w:t>
      </w:r>
    </w:p>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10. Subsequent Events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Loan and Security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30, 2026, or the Effective Date, the Company entered into a Loan and Security Agreement, or the 2026 LSA, with Oxford Finance LLC, as collateral agent, and certain lenders from time to time party thereto. The 2026 LSA provides for term loans in an aggregate principal amount of up to $200.0 million, or the Loan Facility. The Loan Facility matures on July 1, 2031, which maturity date may be extended to June 1, 2032 upon the achievement of specified milestones. The Loan Facility includes an initial tranche of $50.0 million, which was funded on the Effective Date, and additional tranches totaling $100.0 million that may become available upon the achievement of specified milestones and satisfaction of certain conditions, with a fifth tranche of $50.0 million that may be made available subject to Oxford Finance’s discretion. The term loans bear interest at a floating per annum rate equal to the greater of (i) the 1-Month CME Term SOFR plus 4.6% and (ii) 7.6%. Upon repayment of the Loan Facility, the Company is required to pay an amount equal to between 2.50% and 6.75%, depending on when the Loan Facility is repaid and subject to the occurrence of certain events, of the aggregate principal amount of loans advanced under the Loan Facility.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8" w:name="item_2_managements_discussion_analysis_f"/>
      <w:bookmarkEnd w:id="8"/>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our unaudited condensed consolidated financial statements and the related notes and other financial information included elsewhere in this Quarterly Report on Form 10-Q and our consolidated financial statements and related notes thereto for the year ended December 31, 2025, included in our Annual Report on Form 10-K for the year ended December 31, 2025, filed with the Securities and Exchange Commission, or the SEC, on March 30, 2026.</w:t>
      </w:r>
    </w:p>
    <w:p>
      <w:pPr>
        <w:pStyle w:val="TextBody"/>
        <w:bidi w:val="0"/>
        <w:spacing w:before="240" w:after="283"/>
        <w:jc w:val="both"/>
        <w:rPr>
          <w:rFonts w:ascii="Times New Roman" w:hAnsi="Times New Roman"/>
          <w:sz w:val="20"/>
        </w:rPr>
      </w:pPr>
      <w:r>
        <w:rPr>
          <w:rFonts w:ascii="Times New Roman" w:hAnsi="Times New Roman"/>
          <w:i/>
          <w:color w:val="000000"/>
          <w:sz w:val="20"/>
        </w:rPr>
        <w:t>In addition to historical financial information, this discussion and other parts of this report contain forward-looking statements within the meaning of Section 27A of the Securities Act of 1933, as amended, or the Securities Act, and Section 21E of the Securities Exchange Act of 1934, as amended, or the Exchange Act, based upon current expectations about us and our industry that involve substantial risks and uncertainties. Our actual results could differ materially from those anticipated in these forward-looking statements as a result of various factors, including those set forth in the section titled “Risk Factors” under Part II, Item 1A below. In some cases, you can identify forward-looking statements by terminology such as “aim,” “anticipate,” “assume,” “believe,” “contemplate,” “continue,” “could,” “design,” “due,” “estimate,” “expect,” “goal,” “intend,” “may,” “objective,” “plan,” “position,” “potential,” “predict,” “seek,” “should,” “target,” “will,” “would” and other similar expressions that are predictions of or indicate future events and future trends, or the negative of these terms. Forward-looking statements are not guarantees of future performance and are subject to risks and uncertainties that could cause actual results and events to differ from those anticipated.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we undertake no obligation to update or revise these statements in light of future developments. These statements are inherently uncertain and investors are cautioned not to unduly rely upon these statements</w:t>
      </w:r>
      <w:r>
        <w:rPr>
          <w:rFonts w:ascii="Times New Roman" w:hAnsi="Times New Roman"/>
          <w:i/>
          <w:color w:val="32406B"/>
          <w:sz w:val="20"/>
        </w:rPr>
        <w:t>.</w:t>
      </w:r>
    </w:p>
    <w:p>
      <w:pPr>
        <w:pStyle w:val="TextBody"/>
        <w:bidi w:val="0"/>
        <w:spacing w:before="36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biopharmaceutical company advancing the next generation platform of targeted immunotherapies aimed at complement-mediated neuroinflammatory diseases that collectively impact nearly 10 million people worldwide. Building on more than a decade of expertise stopping acute and chronic neuroinflammation at its source, we have demonstrated robust target engagement in the body, brain and eye, and clinical proof of concept in multiple diseases.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strategic priorities include advancing two late-stage registrational programs, tanruprubart toward our first approval in Guillain-Barré Syndrome, or GBS, and vonaprument toward pivotal data in dry age-related macular degeneration, or AMD, with geographic atrophy, or GA, as well as developing ANX1502, a novel oral small molecule for autoimmune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Tanruprubart is an investigational targeted immunotherapy delivered in a single infusion to rapidly halt aggressive neuroinflammation and damage in GBS, an acute, rare, neuromuscular emergency that annually affects ~150,000 people worldwide. There are currently no therapies approved by the FDA for GBS and no substantial evidence of effectiveness from the current standard of care. In the placebo-controlled Phase 3 trial, approximately 90% of GBS patients treated with tanruprubart improved by week 1 and more than twice as many treated patients achieved a normal state of health at week 26. Tanruprubart has consistently demonstrated rapid and sustained functional improvements across a comprehensive data package. We continue to engage with applicable EU and U.S. regulators to advance tanruprubart towards registration worldwide. Our Marketing Authorization Application, or MAA, filed with the European Medicines Agency, or EMA, in January 2026 for tanruprubart for the treatment of GBS is under review, and we continue to engage with EU regulators through the MAA review process. Tanruprubart has been granted orphan designation from the EMA. Tanruprubart has also been granted Fast Track and orphan drug designation for the treatment of GBS from the FDA.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currently ongoing open-label U.S./Europe FORWARD study is designed to broaden Western experience with tanruprubart. We recently announced that the initial cohort of U.S. and European patients in the FORWARD study showed clinically meaningful and rapid improvement in strength and reduced disability within days of a single infusion of 30 mg/kg tanruprubart. The positive clinical outcomes in the FORWARD study reinforce the consistency and reproducibility of the tanruprubart treatment effect, and we anticipate initial pharmacokinetics, or PK, pharmacodynamics, or PD, biomarker and functional data to supplement our comprehensive data package for tanruprubart in GBS. Following such data, we plan to engage with the FDA with the goal of reaching alignment on our current and supplemental data package and information supporting the generalizability of tanruprubart in Western patients for submission of a biologics license application, or BLA, in the fourth quarter of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Vonaprument is an investigational neuroprotective inhibitor of C1q and the classical complement cascade delivered intravitreally for GA, a leading cause of blindness affecting more than eight million people worldwide. There are no approved therapies for GA targeting the preservation of vision. Vonaprument is the only investigational therapy in GA to show significant vision preservation on assessments of best corrected visual acuity, or BCVA, and low luminance visual acuity, demonstrating significant protection from vision loss in both normal and low light conditions, as well as significant preservation of central retinal photoreceptors necessary for visual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acuity. In the Phase 2 ARCHER trial, vonaprument also reduced risk of 15-letter vision loss by more than 70%.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ongoing global, sham-controlled, double-masked Phase 3 ARCHER II trial of 659 patients with GA, all eligible patients have received at least 12 months of vonaprument treatment, with masked event accrual in line with projections. ARCHER II retains strong statistical power and continues to be well-executed with a low discontinuation rate (&lt;10%) and high compliance (&gt;95%). We recently announced the expansion of the vonaprument Phase 3 program to add a Month 24 dual primary endpoint, complementing the current Month 15 primary endpoint, and to launch an open-label extension (OLE) study. With a dual primary endpoint strategy, ARCHER II can achieve success in protecting against vision loss at either Month 15 or Month 24, which are independent efficacy timepoints. The Month 15 primary endpoint remains on track for the fourth quarter of 2026. Upon completion of Month 24, all patients will have the option to receive monthly vonaprument treatment in the OLE study, designed to evaluate the longer-term profile of vonaprument for inclusion in the label. The primary endpoints of this two-year trial are the proportion of patients with confirmed BCVA ≥15-letter loss at two consecutive visits, measured through months 15 and 24. Secondary endpoints include safety, low luminance visual acuity and photoreceptor integrity. We have established a global registration path with the FDA and EMA, which supports the potential of vonaprument to be the first treatment approved in both Europe and the U.S. for the protection of vision in patients with GA. The single-study program will be analyzed as two sub-studies in the U.S. in accordance with the FDA’s two-trial recommendation. Vonaprument is the first and only therapeutic candidate for the treatment of GA to receive Priority Medicine, or PRIME, designation by the EMA, which provides early and proactive support to developers of promising medicines that may offer a major therapeutic advantage over existing treatments or benefit to patients without treatment options. Vonaprument was also selected by the EMA for the Product Development Coordinator Pilot launched in July 2025 to help PRIME designation holders efficiently navigate regulatory interactions including expedited scientific advice, MAA submission readiness activities, and ad-hoc queries throughout the development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ANX1502 is a novel oral small molecule inhibiting the activated form of C1s, an enzyme carried by C1q to initiate the classical cascade, which we believe is first-in-kind and has the potential to offer the advantages of selective upstream classical complement inhibition with the convenience and flexibility of oral administration. In a Phase 1 single-ascending dose and multiple-ascending dose clinical trial in healthy volunteers designed to evaluate the safety, tolerability, PK and PD, ANX1502 was generally well tolerated across cohorts with no serious adverse events, achieved target levels of active drug and showed supportive impact on a PD biomarker of complement activity. We are evaluating an enteric-coated tablet formulation of ANX1502 in an ongoing POC study in patients with cold agglutinin disease, or CAD. We have observed drug levels at and exceeding the pre-defined target in fasted CAD patients. Dosing is complete and we plan to provide an update on the POC study in the second half of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were incorporated in March 2011 and commenced operations later that year. To date, we have focused primarily on performing research and development activities, hiring personnel and raising capital to support and expand these activities. We do not have any products approved for sale, and we have not generated any revenue from product sales. We have incurred net losses each year since our inception. Our net losses were $55.3 million and $49.2 million for the three months ended June 30, 2026 and 2025, respectively, and $99.5 million and $103.5 million for the six months ended June 30, 2026 and 2025, respectively. As of June 30, 2026, we had an accumulated deficit of approximately $1.0 billion and cash and cash equivalents and short-term investments of $209.2 million.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120" w:after="283"/>
        <w:jc w:val="both"/>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product candidates are not approved for commercial sale. We have not generated any revenue from sales of our product candidates and do not expect to do so in the foreseeable future and until we complete clinical development, submit regulatory filings and receive approvals from applicable regulatory bodies for such product candidates, if ever. </w:t>
      </w:r>
    </w:p>
    <w:p>
      <w:pPr>
        <w:pStyle w:val="TextBody"/>
        <w:bidi w:val="0"/>
        <w:spacing w:before="360" w:after="283"/>
        <w:jc w:val="both"/>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account for a significant portion of our operating expenses. Research and development expenses consist primarily of direct and indirect costs incurred for the development of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Direct expenses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preclinical and clinical outside service costs associated with discovery, preclinical and clinical testing of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professional services agreements with third party contract organizations, investigative clinical trial sites and consultants that conduct research and development activities on our behalf;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contract manufacturing costs to produce clinical trial materials and commercial materials to support our planned regulatory package submissions to FDA and other foreign regulatory agencies;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laboratory supplies and materials.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Indirect expenses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compensation and personnel-related expenses (including stock-based compensation);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allocated expenses for facilities and depreciation;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indirect costs.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record research and development expenses as incurred. Payments made to other entities are under agreements that are generally cancelable by us. Advance payments for goods or services to be received in future periods for use in research and development activities are deferred as prepaid expenses. The prepaid amounts are then expensed as the related services are performed. At this time, we cannot reasonably estimate or know the nature, timing and estimated costs of the efforts that will be necessary to complete the development of, and obtain regulatory approval for, any of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our future research and development expenses to vary from period to period as we pursue regulatory approval of our product candidates, continue to advance our product candidates through late-stage clinical trials, invest in capabilities to prepare for commercialization including manufacturing, and hire additional personnel to support our organization. The process of conducting the necessary clinical research, development and manufacturing to obtain regulatory approval is costly and time-consuming, and the successful development and approval of our product candidates is highly uncertain.</w:t>
      </w:r>
    </w:p>
    <w:p>
      <w:pPr>
        <w:pStyle w:val="TextBody"/>
        <w:bidi w:val="0"/>
        <w:spacing w:before="360" w:after="283"/>
        <w:jc w:val="both"/>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compensation and personnel-related expenses (including stock-based compensation) for our personnel in executive, finance and other administrative functions. General and administrative expenses also include professional fees paid for accounting, legal and tax services, allocated expenses for facilities and depreciation and other general and administrative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our general and administrative expenses to vary from period to period as we continue to support our research and development activities, grow our business, advance our product candidates in late-stage clinical trials and toward regulatory approval and commercialization activities, and operate as a public company.</w:t>
      </w:r>
    </w:p>
    <w:p>
      <w:pPr>
        <w:pStyle w:val="TextBody"/>
        <w:bidi w:val="0"/>
        <w:spacing w:before="360" w:after="283"/>
        <w:jc w:val="both"/>
        <w:rPr>
          <w:rFonts w:ascii="Times New Roman" w:hAnsi="Times New Roman"/>
          <w:sz w:val="20"/>
        </w:rPr>
      </w:pPr>
      <w:r>
        <w:rPr>
          <w:rFonts w:ascii="Times New Roman" w:hAnsi="Times New Roman"/>
          <w:b/>
          <w:i/>
          <w:color w:val="000000"/>
          <w:sz w:val="20"/>
        </w:rPr>
        <w:t>Interest and Other Income,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and other income, net, primarily consists of interest income earned on our cash equivalents and short-term investments.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sz w:val="20"/>
        </w:rPr>
      </w:pPr>
      <w:r>
        <w:rPr>
          <w:rFonts w:ascii="Times New Roman" w:hAnsi="Times New Roman"/>
          <w:b/>
          <w:i/>
          <w:color w:val="000000"/>
          <w:sz w:val="20"/>
        </w:rPr>
        <w:t>Comparison of the Three Months Ended June 30, 2026 and 2025</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summarize our results of operations for the periods presented:</w:t>
      </w:r>
    </w:p>
    <w:p>
      <w:pPr>
        <w:pStyle w:val="TextBody"/>
        <w:bidi w:val="0"/>
        <w:spacing w:before="120" w:after="283"/>
        <w:jc w:val="both"/>
        <w:rPr/>
      </w:pPr>
      <w:r>
        <w:rPr/>
        <w:t> </w:t>
      </w:r>
    </w:p>
    <w:tbl>
      <w:tblPr>
        <w:tblW w:w="7756" w:type="dxa"/>
        <w:jc w:val="left"/>
        <w:tblInd w:w="0" w:type="dxa"/>
        <w:tblLayout w:type="fixed"/>
        <w:tblCellMar>
          <w:top w:w="28" w:type="dxa"/>
          <w:left w:w="28" w:type="dxa"/>
          <w:bottom w:w="28" w:type="dxa"/>
          <w:right w:w="28" w:type="dxa"/>
        </w:tblCellMar>
      </w:tblPr>
      <w:tblGrid>
        <w:gridCol w:w="2561"/>
        <w:gridCol w:w="146"/>
        <w:gridCol w:w="211"/>
        <w:gridCol w:w="736"/>
        <w:gridCol w:w="166"/>
        <w:gridCol w:w="146"/>
        <w:gridCol w:w="211"/>
        <w:gridCol w:w="736"/>
        <w:gridCol w:w="166"/>
        <w:gridCol w:w="146"/>
        <w:gridCol w:w="211"/>
        <w:gridCol w:w="631"/>
        <w:gridCol w:w="166"/>
        <w:gridCol w:w="146"/>
        <w:gridCol w:w="184"/>
        <w:gridCol w:w="477"/>
        <w:gridCol w:w="716"/>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jc w:val="both"/>
        <w:rPr/>
      </w:pPr>
      <w:r>
        <w:rPr/>
        <w:t> </w:t>
      </w:r>
    </w:p>
    <w:tbl>
      <w:tblPr>
        <w:tblW w:w="8531" w:type="dxa"/>
        <w:jc w:val="left"/>
        <w:tblInd w:w="0" w:type="dxa"/>
        <w:tblLayout w:type="fixed"/>
        <w:tblCellMar>
          <w:top w:w="28" w:type="dxa"/>
          <w:left w:w="28" w:type="dxa"/>
          <w:bottom w:w="28" w:type="dxa"/>
          <w:right w:w="28" w:type="dxa"/>
        </w:tblCellMar>
      </w:tblPr>
      <w:tblGrid>
        <w:gridCol w:w="3636"/>
        <w:gridCol w:w="146"/>
        <w:gridCol w:w="211"/>
        <w:gridCol w:w="676"/>
        <w:gridCol w:w="146"/>
        <w:gridCol w:w="146"/>
        <w:gridCol w:w="211"/>
        <w:gridCol w:w="676"/>
        <w:gridCol w:w="146"/>
        <w:gridCol w:w="146"/>
        <w:gridCol w:w="211"/>
        <w:gridCol w:w="631"/>
        <w:gridCol w:w="166"/>
        <w:gridCol w:w="146"/>
        <w:gridCol w:w="170"/>
        <w:gridCol w:w="491"/>
        <w:gridCol w:w="576"/>
      </w:tblGrid>
      <w:tr>
        <w:trPr/>
        <w:tc>
          <w:tcPr>
            <w:tcW w:w="3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and nonclinical outside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Consulting and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Laboratory supplies and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Compensation and personnel-related </w:t>
              <w:br/>
              <w:t>(including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Research and development expenses increased by $2.4 million, or 6%, for the three months ended June 30, 2026 compared to the same period in 2025. The change was primarily attributable to an increase of $6.0 million in contract manufacturing activity for the manufacturing technology transfer of vonaprument to a commercial-ready facility. Consulting and professional services expenses decreased by $1.4 million, following the MAA submission for tanruprubart in January 2026. Compensation and personnel-related expenses (including stock-based compensation) decreased by $1.3 million, reflecting lower headcount. In addition, direct clinical and nonclinical outside services costs decreased by $1.2 million primarily associated with the vonaprument Phase 3 ARCHER II trial in GA partially offset by higher tanruprubart FORWARD study costs.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jc w:val="both"/>
        <w:rPr/>
      </w:pPr>
      <w:r>
        <w:rPr/>
        <w:t> </w:t>
      </w:r>
    </w:p>
    <w:tbl>
      <w:tblPr>
        <w:tblW w:w="8071" w:type="dxa"/>
        <w:jc w:val="left"/>
        <w:tblInd w:w="0" w:type="dxa"/>
        <w:tblLayout w:type="fixed"/>
        <w:tblCellMar>
          <w:top w:w="28" w:type="dxa"/>
          <w:left w:w="28" w:type="dxa"/>
          <w:bottom w:w="28" w:type="dxa"/>
          <w:right w:w="28" w:type="dxa"/>
        </w:tblCellMar>
      </w:tblPr>
      <w:tblGrid>
        <w:gridCol w:w="3541"/>
        <w:gridCol w:w="146"/>
        <w:gridCol w:w="211"/>
        <w:gridCol w:w="676"/>
        <w:gridCol w:w="146"/>
        <w:gridCol w:w="146"/>
        <w:gridCol w:w="211"/>
        <w:gridCol w:w="571"/>
        <w:gridCol w:w="146"/>
        <w:gridCol w:w="146"/>
        <w:gridCol w:w="211"/>
        <w:gridCol w:w="571"/>
        <w:gridCol w:w="166"/>
        <w:gridCol w:w="146"/>
        <w:gridCol w:w="170"/>
        <w:gridCol w:w="491"/>
        <w:gridCol w:w="376"/>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Compensation and personnel-related </w:t>
              <w:br/>
              <w:t>(including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Consulting and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and administrative expenses increased by $3.1 million, or 41%, for the three months ended June 30, 2026 compared to the same period in 2025, primarily driven by a $2.3 million increase in consulting and professional services costs for corporate affairs activities across our portfolio. In addition, compensation and personnel-related expenses were higher primarily due to stock-based compensation expense.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Interest and other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and other income, net, decreased by $0.7 million, or 27%, for the three months ended June 30, 2026 compared to the same period in 2025. The decrease was primarily due to lower average cash and investment balances.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Comparison of the Six Months Ended June 30, 2026 and 2025</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summarize our results of operations for the periods presented:</w:t>
      </w:r>
    </w:p>
    <w:p>
      <w:pPr>
        <w:pStyle w:val="TextBody"/>
        <w:bidi w:val="0"/>
        <w:jc w:val="both"/>
        <w:rPr/>
      </w:pPr>
      <w:r>
        <w:rPr/>
        <w:t> </w:t>
      </w:r>
    </w:p>
    <w:tbl>
      <w:tblPr>
        <w:tblW w:w="7966" w:type="dxa"/>
        <w:jc w:val="left"/>
        <w:tblInd w:w="0" w:type="dxa"/>
        <w:tblLayout w:type="fixed"/>
        <w:tblCellMar>
          <w:top w:w="28" w:type="dxa"/>
          <w:left w:w="28" w:type="dxa"/>
          <w:bottom w:w="28" w:type="dxa"/>
          <w:right w:w="28" w:type="dxa"/>
        </w:tblCellMar>
      </w:tblPr>
      <w:tblGrid>
        <w:gridCol w:w="2561"/>
        <w:gridCol w:w="146"/>
        <w:gridCol w:w="211"/>
        <w:gridCol w:w="841"/>
        <w:gridCol w:w="166"/>
        <w:gridCol w:w="146"/>
        <w:gridCol w:w="211"/>
        <w:gridCol w:w="841"/>
        <w:gridCol w:w="166"/>
        <w:gridCol w:w="146"/>
        <w:gridCol w:w="211"/>
        <w:gridCol w:w="631"/>
        <w:gridCol w:w="166"/>
        <w:gridCol w:w="146"/>
        <w:gridCol w:w="184"/>
        <w:gridCol w:w="477"/>
        <w:gridCol w:w="716"/>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both"/>
        <w:rPr/>
      </w:pPr>
      <w:r>
        <w:rPr/>
        <w:t> </w:t>
      </w:r>
    </w:p>
    <w:tbl>
      <w:tblPr>
        <w:tblW w:w="8531" w:type="dxa"/>
        <w:jc w:val="left"/>
        <w:tblInd w:w="0" w:type="dxa"/>
        <w:tblLayout w:type="fixed"/>
        <w:tblCellMar>
          <w:top w:w="28" w:type="dxa"/>
          <w:left w:w="28" w:type="dxa"/>
          <w:bottom w:w="28" w:type="dxa"/>
          <w:right w:w="28" w:type="dxa"/>
        </w:tblCellMar>
      </w:tblPr>
      <w:tblGrid>
        <w:gridCol w:w="3636"/>
        <w:gridCol w:w="146"/>
        <w:gridCol w:w="211"/>
        <w:gridCol w:w="676"/>
        <w:gridCol w:w="146"/>
        <w:gridCol w:w="146"/>
        <w:gridCol w:w="211"/>
        <w:gridCol w:w="676"/>
        <w:gridCol w:w="146"/>
        <w:gridCol w:w="146"/>
        <w:gridCol w:w="211"/>
        <w:gridCol w:w="631"/>
        <w:gridCol w:w="166"/>
        <w:gridCol w:w="146"/>
        <w:gridCol w:w="184"/>
        <w:gridCol w:w="477"/>
        <w:gridCol w:w="576"/>
      </w:tblGrid>
      <w:tr>
        <w:trPr/>
        <w:tc>
          <w:tcPr>
            <w:tcW w:w="3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and nonclinical outside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Consulting and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Laboratory supplies and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Compensation and personnel-related </w:t>
              <w:br/>
              <w:t>(including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sz w:val="20"/>
        </w:rPr>
      </w:pPr>
      <w:r>
        <w:rPr>
          <w:rFonts w:ascii="Times New Roman" w:hAnsi="Times New Roman"/>
          <w:color w:val="000000"/>
          <w:sz w:val="20"/>
        </w:rPr>
        <w:t>Research and development expenses decreased by $10.0 million, or 11%, for the six months ended June 30, 2026 compared to the same period in 2025. The change was primarily attributable to a decrease of $5.2 million in completed contract manufacturing activity supporting the tanruprubart European MAA filing, a decrease of $3.7 million in compensation and personnel-related expenses (including stock-based compensation), reflecting lower headcount, and a decrease of $3.4 million in consulting and professional services expenses following the MAA submission for tanruprubart in January 2026. These decreases were partially offset by a $2.3 million increase in direct clinical and nonclinical outside services costs associated with the ongoing tanruprubart FORWARD study in GBS and the vonaprument Phase 3 ARCHER II trial in GA</w:t>
      </w:r>
      <w:r>
        <w:rPr>
          <w:rFonts w:ascii="Roboto;sans-serif" w:hAnsi="Roboto;sans-serif"/>
          <w:color w:val="000000"/>
          <w:sz w:val="21"/>
        </w:rPr>
        <w: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General and Administrative Expenses</w:t>
      </w:r>
    </w:p>
    <w:tbl>
      <w:tblPr>
        <w:tblW w:w="8176" w:type="dxa"/>
        <w:jc w:val="left"/>
        <w:tblInd w:w="0" w:type="dxa"/>
        <w:tblLayout w:type="fixed"/>
        <w:tblCellMar>
          <w:top w:w="28" w:type="dxa"/>
          <w:left w:w="28" w:type="dxa"/>
          <w:bottom w:w="28" w:type="dxa"/>
          <w:right w:w="28" w:type="dxa"/>
        </w:tblCellMar>
      </w:tblPr>
      <w:tblGrid>
        <w:gridCol w:w="3541"/>
        <w:gridCol w:w="146"/>
        <w:gridCol w:w="211"/>
        <w:gridCol w:w="676"/>
        <w:gridCol w:w="146"/>
        <w:gridCol w:w="146"/>
        <w:gridCol w:w="211"/>
        <w:gridCol w:w="676"/>
        <w:gridCol w:w="146"/>
        <w:gridCol w:w="146"/>
        <w:gridCol w:w="211"/>
        <w:gridCol w:w="571"/>
        <w:gridCol w:w="166"/>
        <w:gridCol w:w="146"/>
        <w:gridCol w:w="184"/>
        <w:gridCol w:w="477"/>
        <w:gridCol w:w="376"/>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Compensation and personnel-related </w:t>
              <w:br/>
              <w:t>(including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Consulting and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and administrative expenses increased by $4.1 million, or 24%, for the six months ended June 30, 2026 compared to the same period in 2025, primarily driven by a $3.6 million increase in consulting and professional services costs for corporate affairs activities across our portfolio in the first half of 2026. In addition, compensation and personnel-related expenses were higher primarily due to stock-based compensation expense.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Interest and other income,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and other income, net, decreased by $1.8 million, or 33%, for the six months ended June 30, 2026 compared to the same period in 2025. The decrease was primarily due to lower average cash and investment balances as well as lower average interest rates.</w:t>
      </w:r>
    </w:p>
    <w:p>
      <w:pPr>
        <w:pStyle w:val="TextBody"/>
        <w:bidi w:val="0"/>
        <w:spacing w:before="360" w:after="283"/>
        <w:jc w:val="both"/>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Due to our significant research and development expenditures, we have generated operating losses each year since our inception.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date, we have funded our operations primarily through the sale of equity securities including, most recently in November 2025, the public offering of approximately $86.3 million of shares of common stock and pre-funded warrants. In addition, on March 30, 2026, we entered into a sales agreement with TD Cowen pursuant to which we may offer and sell, from time to time through TD Cowen, at our option, shares of our common stock having an aggregate offering price of up to $150.0 million. As of June 30, 2026, we had available cash and cash equivalents and short-term investments of $209.2 million and an accumulated deficit of approximately $1.0 billion.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Historical Cash Flows</w:t>
      </w:r>
    </w:p>
    <w:p>
      <w:pPr>
        <w:pStyle w:val="TextBody"/>
        <w:bidi w:val="0"/>
        <w:jc w:val="both"/>
        <w:rPr/>
      </w:pPr>
      <w:r>
        <w:rPr/>
        <w:t> </w:t>
      </w:r>
    </w:p>
    <w:tbl>
      <w:tblPr>
        <w:tblW w:w="6989" w:type="dxa"/>
        <w:jc w:val="left"/>
        <w:tblInd w:w="0" w:type="dxa"/>
        <w:tblLayout w:type="fixed"/>
        <w:tblCellMar>
          <w:top w:w="28" w:type="dxa"/>
          <w:left w:w="28" w:type="dxa"/>
          <w:bottom w:w="28" w:type="dxa"/>
          <w:right w:w="28" w:type="dxa"/>
        </w:tblCellMar>
      </w:tblPr>
      <w:tblGrid>
        <w:gridCol w:w="4381"/>
        <w:gridCol w:w="146"/>
        <w:gridCol w:w="211"/>
        <w:gridCol w:w="736"/>
        <w:gridCol w:w="166"/>
        <w:gridCol w:w="146"/>
        <w:gridCol w:w="211"/>
        <w:gridCol w:w="781"/>
        <w:gridCol w:w="21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82,788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i/>
          <w:color w:val="000000"/>
          <w:sz w:val="20"/>
        </w:rPr>
        <w:t>Cash Flow from 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operating activities for the six months ended June 30, 2026 was $94.8 million, which consisted of a net loss of $99.5 million and a net change of $5.3 million in our operating assets and liabilities, partially offset by $10.0 million in non-cash charges. The non-cash charges consisted of stock-based compensation of $9.0 million, depreciation and amortization of $1.1 million, and a reduction in the carrying amount of right-of-use assets of $0.8 million, partially offset by accretion of discount on available-for-sale securities of $0.9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used in operating activities for the six months ended June 30, 2025 was $88.1 million, which consisted of a net loss of $103.5 million, partially offset by $8.0 million in non-cash charges and a net change of $7.4 million in our operating assets and liabilities. The non-cash charges consisted of stock-based compensation of $9.3 million, depreciation and amortization of $1.1 million and a reduction in the carrying amount of right-of-use assets of $0.7 million, partially offset by accretion of discount on available-for-sale securities of $3.1 million.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Cash Flow from 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investing activities for the six months ended June 30, 2026 was $67.0 million, which consisted of $83.0 million of proceeds from maturities of available-for-sale securities, partially offset by $15.9 million of purchases of available-for-sale securities and $0.1 million of purchases of property and equipment.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provided by investing activities for the six months ended June 30, 2025 was $170.7 million, which consisted of $291.3 million of proceeds from maturities of available-for-sale securities, partially offset by $120.5 million of purchases of available-for-sale securities and $0.1 million of purchases of property and equipment.</w:t>
      </w:r>
    </w:p>
    <w:p>
      <w:pPr>
        <w:pStyle w:val="TextBody"/>
        <w:bidi w:val="0"/>
        <w:spacing w:before="360" w:after="283"/>
        <w:jc w:val="both"/>
        <w:rPr>
          <w:rFonts w:ascii="Times New Roman" w:hAnsi="Times New Roman"/>
          <w:sz w:val="20"/>
        </w:rPr>
      </w:pPr>
      <w:r>
        <w:rPr>
          <w:rFonts w:ascii="Times New Roman" w:hAnsi="Times New Roman"/>
          <w:b/>
          <w:i/>
          <w:color w:val="000000"/>
          <w:sz w:val="20"/>
        </w:rPr>
        <w:t>Cash Flow from 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financing activities for the six months ended June 30, 2026 was $65.0 million, which consisted of $63.8 million of net proceeds from the aggregate issuance of common stock under our 2024 ATM program and 2026 ATM program and $1.3 million of net proceeds from the exercise of common stock options and employee stock purchase plan purchases.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provided by financing activities for the six months ended June 30, 2025 was $0.2 million, which consisted of proceeds from the exercise of common stock options and employee stock purchase plans.</w:t>
      </w:r>
    </w:p>
    <w:p>
      <w:pPr>
        <w:pStyle w:val="TextBody"/>
        <w:bidi w:val="0"/>
        <w:spacing w:before="360" w:after="283"/>
        <w:jc w:val="both"/>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use our cash to fund operations, primarily to fund our clinical trials, research and development expenditures and related personnel costs. We expect our future research and development expenses to increase as we pursue regulatory approval of our product candidates, continue to advance our product candidates through late-stage clinical trials, invest in capabilities to prepare for commercialization including manufacturing, and hire additional personnel to support our organization. In addition, we expect our general and administrative expenses to increase as we continue to support our research and development activities, grow our business, advance our product candidates in late-stage clinical trials and toward regulatory approval and commercialization activities, and operate as a public company. The timing and amount of our operating expenditures will depend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progress, results and costs of researching and developing our current product candidates or any other future product candidates we choose to pursue, and conducting preclinical studies and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of, and the costs involved in, obtaining feedback from regulators on our clinical trials and regulatory approvals for our lead product candidates or any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and characteristics of any additional product candidates we develop or acquire;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and amount of any milestone, royalty and/or other payments we are required to make pursuant to our current or any future license or collaboration agreements;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manufacturing our lead product candidates or any future product candidates and any products we successfully commercialize;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building a sales force in anticipation of product commercialization;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commercialization activities of our product candidates, if approved for sale, including marketing, sales and distribution costs;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establish strategic collaborations, licensing or other arrangements and the financial terms of any such agreements, including the timing and amount of any future milestone, royalty or other payments due under any such agreement;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product liability or other lawsuits related to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expenses needed to attract, hire and retain skilled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associated with operating as a public company;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involved in preparing, filing, prosecuting, maintaining, defending and enforcing our intellectual property portfolio;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receipt and amount of sales of any future approved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upon our current operating plan, we believe that our existing cash and cash equivalents and short-term investments will enable us to fund operating expenses into 2028. We will require substantial additional financing to achieve our goals, and a failure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obtain this necessary capital when needed on acceptable terms, or at all, could force us to delay, limit, reduce or terminate our product development programs, commercialization efforts or other operations. We have based this estimate on assumptions that may prove to be wrong, and we could utilize our available capital resources sooner than we expect. We will be required to seek additional funding in the future until such time, if ever, as we can generate substantial product revenue, and currently intend to do so through public or private equity offerings or debt financings, credit or loan facilities, collaborations or a combination of one or more of these funding sources. We may also need to seek additional funds sooner than planned as result of changes in our development plans and regulatory requirements to support registration of our product candidates. Additional funds may not be available to us on acceptable terms or at all. If we fail to obtain necessary capital when needed on acceptable terms, or at all, we could be forced to delay, limit, reduce or terminate our product development programs, commercialization efforts or other operations.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2025 Financing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2025, we raised net proceeds of approximately $80.5 million after deducting underwriting discounts and offering expenses through the sale of 29,423,075 shares of our common stock at a price of $2.60 per share and pre-funded warrants to purchase an aggregate of 3,750,000 shares of common stock at a price of $2.599 per share, which equals the per share offering price for the shares of common stock less the $0.001 exercise price for each pre-funded warrant.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2024 Financing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2024, we raised net proceeds of approximately $116.8 million after deducting underwriting discounts and offering expenses through the sale of 13,001,120 shares of our common stock at a price of $6.25 per share and pre-funded warrants to purchase an aggregate of 7,000,000 shares of common stock at a price of $6.249 per share, which equals the per share offering price for the shares of common stock less the $0.001 exercise price for each pre-funded warrant.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2023 Financing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2023, we raised net proceeds of approximately $117.0 million after deducting underwriting discounts and offering expenses through the sale of 25,035,000 shares of our common stock at a price of $2.880 per share and pre-funded warrants to purchase an aggregate of 18,379,861 shares of common stock at a price of $2.879 per share, which equals the per share offering price for the shares of common stock less the $0.001 exercise price for each pre-funded warrant.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2022 Financing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July 2022, we raised net proceeds of approximately $122.5 million after deducting fees and expenses through the sale of an aggregate of 9,013,834 shares of common stock, pre-funded warrants to purchase up to 24,696,206 shares of our common stock and accompanying common warrants to purchase up to 8,427,508 shares of our common stock. The offering price per share and accompanying common warrant was $3.87125 per share and the offering price per pre-funded warrant and accompanying common warrant was $3.87025 per share, which equals the per share offering price for the shares of common stock less the $0.001 exercise price for each such pre-funded warrant. The pre-funded warrants remain exercisable until exercised in full. The common warrants had an exercise price of $5.806875 per share and, except as described in the next paragraph, expired on June 30, 2025. Both the pre-funded and common warrants were immediately exercisable, subject to beneficial ownership limitations.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2025, we and holders of common warrants exercisable for 6,877,622 shares of our common stock entered into amendments to the common warrants held by such holders. The amendments extended the term of the common warrants by one year until June 30, 2026, and removed the cashless exercise option. If all such common warrants are exercised in full for cash (without regard to any applicable ownership limitations), we would receive aggregate gross proceeds of approximately $39.9 million. The remaining common warrants to purchase 1,226,993 shares of our common stock not subject to these amendments expired unexercised on June 30, 2025. On June 30, 2026, the amended common warrants to purchase 6,877,622 shares of our common stock expired unexercised.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Pre-Funded and Common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summarizes warrant activity during the six months ended June 30, 2026 and 2025:</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55"/>
        <w:gridCol w:w="146"/>
        <w:gridCol w:w="293"/>
        <w:gridCol w:w="1781"/>
        <w:gridCol w:w="166"/>
        <w:gridCol w:w="146"/>
        <w:gridCol w:w="286"/>
        <w:gridCol w:w="1920"/>
        <w:gridCol w:w="166"/>
        <w:gridCol w:w="146"/>
        <w:gridCol w:w="638"/>
        <w:gridCol w:w="1667"/>
        <w:gridCol w:w="595"/>
      </w:tblGrid>
      <w:tr>
        <w:trPr/>
        <w:tc>
          <w:tcPr>
            <w:tcW w:w="22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22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Common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Pre-funded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 Exercise Price</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6,877,622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42,293,577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5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4"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(12,527,778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0.001</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(6,877,622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5.807</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29,765,799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74"/>
        <w:gridCol w:w="146"/>
        <w:gridCol w:w="311"/>
        <w:gridCol w:w="1765"/>
        <w:gridCol w:w="146"/>
        <w:gridCol w:w="146"/>
        <w:gridCol w:w="303"/>
        <w:gridCol w:w="1907"/>
        <w:gridCol w:w="146"/>
        <w:gridCol w:w="146"/>
        <w:gridCol w:w="837"/>
        <w:gridCol w:w="1482"/>
        <w:gridCol w:w="596"/>
      </w:tblGrid>
      <w:tr>
        <w:trPr/>
        <w:tc>
          <w:tcPr>
            <w:tcW w:w="2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Common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Pre-funded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 Exercise Price</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8,104,615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38,543,577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8,104,615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38,543,577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2026, we issued an aggregate of 12,525,379 shares of common stock upon the cashless exercise of pre-funded warrants to purchase 12,527,778 shares of common stock. Subsequent to June 30, 2026 and through the date of issuance of these financial statements, we issued an aggregate of 14,897,630 shares of common stock upon the cashless exercise of pre-funded warrants to purchase 14,900,000 shares of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 the Market (ATM)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2026, we entered into a sales agreement with TD Securities (USA) LLC, or TD Cowen, as sales agent, pursuant to which we may offer and sell, from time to time through TD Cowen, at our option, shares of our common stock having an aggregate offering price of up to $150.0 million, or the 2026 ATM program. We agreed to pay TD Cowen a commission of up to 3.0% of the aggregate gross proceeds for the common stock sold through the 2026 ATM program. During the six months ended June 30, 2026, we sold 5,734,361 shares of common stock under the 2026 ATM program for net proceeds of approximately $31.0 million, after deducting commissions paid to TD Cowen and other offering costs. As of June 30, 2026, approximately $117.8 million remained available under the 2026 ATM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2024, we entered into a sales agreement with TD Cowen, as sales agent, pursuant to which we were permitted to offer and sell shares of our common stock having an aggregate maximum offering price of up to $100.0 million, or 2024 ATM program. During the six months ended June 30, 2026, we sold 6,049,762 shares of our common stock under the 2024 ATM program for net proceeds of approximately $32.7 million, after deducting commissions paid to TD Cowen and other offering costs. No sales were made under the 2024 ATM program during the six months ended June 30, 2025. In May 2026, we terminated the 2024 ATM program. Approximately $33.3 million remained available under the 2024 ATM program at the time of termination; however, no further shares of common stock may be sold under the 2024 ATM program.</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Management’s discussion and analysis of our financial condition and results of operations is based on our unaudited condensed consolidated financial statements, which have been prepared in accordance with U.S. GAAP. The preparation of these unaudited condensed consolidated financial statements requires us to make estimates and assumptions for the reported amounts of assets, liabilities,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quarter ended June 30, 2026, there were no material changes to our critical accounting policies or in the methodology used for estimates from those described in “Management’s Discussion and Analysis of Financial Condition and Results of Operations” included in our Annual Report on Form 10-K for the year ended December 31, 2025.</w:t>
      </w:r>
    </w:p>
    <w:p>
      <w:pPr>
        <w:pStyle w:val="TextBody"/>
        <w:bidi w:val="0"/>
        <w:spacing w:before="360" w:after="283"/>
        <w:jc w:val="left"/>
        <w:rPr>
          <w:rFonts w:ascii="Times New Roman" w:hAnsi="Times New Roman"/>
          <w:b/>
          <w:color w:val="212529"/>
          <w:sz w:val="20"/>
        </w:rPr>
      </w:pPr>
      <w:r>
        <w:rPr>
          <w:rFonts w:ascii="Times New Roman" w:hAnsi="Times New Roman"/>
          <w:b/>
          <w:color w:val="212529"/>
          <w:sz w:val="20"/>
        </w:rPr>
        <w:t>Recent Accounting Pronouncements Not Yet Adopted</w:t>
      </w:r>
    </w:p>
    <w:p>
      <w:pPr>
        <w:pStyle w:val="TextBody"/>
        <w:bidi w:val="0"/>
        <w:spacing w:before="120" w:after="283"/>
        <w:jc w:val="both"/>
        <w:rPr>
          <w:rFonts w:ascii="Times New Roman" w:hAnsi="Times New Roman"/>
          <w:sz w:val="20"/>
        </w:rPr>
      </w:pPr>
      <w:r>
        <w:rPr>
          <w:rFonts w:ascii="Times New Roman" w:hAnsi="Times New Roman"/>
          <w:color w:val="212529"/>
          <w:sz w:val="20"/>
        </w:rPr>
        <w:t>See Note 2—</w:t>
      </w:r>
      <w:r>
        <w:rPr>
          <w:rFonts w:ascii="Times New Roman" w:hAnsi="Times New Roman"/>
          <w:i/>
          <w:color w:val="212529"/>
          <w:sz w:val="20"/>
        </w:rPr>
        <w:t>Basis of Presentation and Significant Accounting Policies</w:t>
      </w:r>
      <w:r>
        <w:rPr>
          <w:rFonts w:ascii="Times New Roman" w:hAnsi="Times New Roman"/>
          <w:color w:val="212529"/>
          <w:sz w:val="20"/>
        </w:rPr>
        <w:t xml:space="preserve"> to our unaudited condensed consolidated financial statements included elsewhere in this Quarterly Report on Form 10-Q for information about recent accounting pronouncements, the timing of their adoption, and our assessment, to the extent we have made one yet, of their potential impact on our financial condition of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bookmarkStart w:id="9" w:name="item_3_quantitative_qualitative_disclosu"/>
      <w:bookmarkEnd w:id="9"/>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sz w:val="20"/>
        </w:rPr>
      </w:pPr>
      <w:bookmarkStart w:id="10" w:name="item_4_controls_procedures"/>
      <w:bookmarkEnd w:id="10"/>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with the participation and supervision of our Chief Executive Officer and our Chief Financial Officer, have evaluated our disclosure controls and procedures (as defined in Rules 13a-15(e) and 15d-15(e) under the Exchange Act) as of the end of the period covered by this Quarterly Report on Form 10-Q. Based on that evaluation, our Chief Executive Officer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has been no change in our internal control over financial reporting (as defined in Rules 13a-15(f) and 15d-15(f) under the Exchange Act) that occurred during the quarter ended June 30, 2026 that has materially affected, or is reasonably likely to materially affect, our internal control over financial reporting.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part_ii_or_information"/>
      <w:bookmarkEnd w:id="11"/>
      <w:r>
        <w:rPr>
          <w:rFonts w:ascii="Times New Roman" w:hAnsi="Times New Roman"/>
          <w:b/>
          <w:color w:val="000000"/>
          <w:sz w:val="20"/>
        </w:rPr>
        <w:t>PART II – OTHER INFORMATION</w:t>
      </w:r>
    </w:p>
    <w:p>
      <w:pPr>
        <w:pStyle w:val="TextBody"/>
        <w:bidi w:val="0"/>
        <w:spacing w:before="240" w:after="283"/>
        <w:jc w:val="left"/>
        <w:rPr>
          <w:rFonts w:ascii="Times New Roman" w:hAnsi="Times New Roman"/>
          <w:b/>
          <w:color w:val="000000"/>
          <w:sz w:val="20"/>
        </w:rPr>
      </w:pPr>
      <w:bookmarkStart w:id="12" w:name="item_1_legal_proceedings"/>
      <w:bookmarkEnd w:id="12"/>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not party to any material legal proceedings at this time. From time to time, we may become involved in various legal proceedings that arise in the ordinary course of our business. </w:t>
      </w:r>
    </w:p>
    <w:p>
      <w:pPr>
        <w:pStyle w:val="TextBody"/>
        <w:bidi w:val="0"/>
        <w:spacing w:before="360" w:after="283"/>
        <w:jc w:val="both"/>
        <w:rPr>
          <w:rFonts w:ascii="Times New Roman" w:hAnsi="Times New Roman"/>
          <w:b/>
          <w:color w:val="000000"/>
          <w:sz w:val="20"/>
        </w:rPr>
      </w:pPr>
      <w:bookmarkStart w:id="13" w:name="item_1a_risk_factors"/>
      <w:bookmarkEnd w:id="13"/>
      <w:r>
        <w:rPr>
          <w:rFonts w:ascii="Times New Roman" w:hAnsi="Times New Roman"/>
          <w:b/>
          <w:color w:val="000000"/>
          <w:sz w:val="20"/>
        </w:rPr>
        <w:t>Item 1A. Risk Factors.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RISK FACTORS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Our business involves significant risks, some of which are described below. You should carefully consider the risks and uncertainties described below, together with all of the other information contained in this Quarterly Report on Form 10-Q, including "Management's Discussion and Analysis of Financial Condition and Results of Operations" and the financial statements and the related notes. If any of the following risks actually occur, it could harm our business, prospects, results of operations and financial condition and future prospects. In such event, the market price of our common stock could decline and you could lose all or part of your investment. Additional risks and uncertainties not presently known to us or that we currently deem immaterial may also impair our business operations. This Quarterly Report on Form 10-Q also contains forward-looking statements that involve risks and uncertainties. Our actual results could differ materially from those anticipated in the forward-looking statements as a result of factors that are described below and elsewhere in this Quarterly Report on Form 10-Q.</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summarizes the most material risks that make an investment in our securities risky or speculative. If any of the following risks occur or persist, our business, financial condition and results of operations could be materially harmed and the price of our common stock could significantly decline.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clinical-stage biopharmaceutical company with a limited operating history and no products approved for commercial sale. We have incurred significant losses since our inception, and we anticipate that we will continue to incur significant losses for the foreseeable future, which, together with our limited operating history, makes it difficult to assess our future viability.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is heavily dependent on the successful development, regulatory approval and commercialization of our product candidates, some of which are in early stages of clinical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of biopharmaceutical products is inherently risky. We cannot give any assurance that any of our product candidates will receive regulatory approval, which is necessary before they can be commercialized.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encounter substantial delays in our clinical trials or may not be able to conduct or complete our clinical trials on the timelines we expect,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events or undesirable side effects caused by, or other unexpected properties of, any of our product candidates could halt their clinical development, delay or prevent their regulatory approval, limit their commercial potential or result in significant negative consequences.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conduct, and in the future plan to conduct, clinical trials for product candidates outside the United States, and the Food and Drug Administration, or FDA, and comparable foreign regulatory authorities may not accept data from such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third-party suppliers to manufacture our product candidates, and we intend to rely on third parties to produce commercial supplies of any approved product. The loss of these suppliers, or their failure to comply with applicable regulatory requirements or to provide us with sufficient quantities at acceptable quality levels or prices, or at all, would materially and adversely affect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products and decrease our ability to generate revenue.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collaboration arrangements that we may enter into in the future may not be successful, which could adversely affect our ability to develop and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obtain, maintain and enforce intellectual property protection directed to our current and any future technologies that we develop, others may be able to make, use or sell products substantially the same as ours, which could adversely affect our ability to compete in the market.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stock price has been volatile, and could in the future be volatile, and you may not be able to resell shares of our common stock at or above the price you paid.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perceived failure to comply with applicable data protection laws, regulations, standards, contractual obligations and other requirements related to data privacy and security could lead to government enforcement actions as well as civil and criminal penalties, private litigation (including class actions), adverse publicity and otherwise could negatively affect our results of operations and business.</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Our Limited Operating History, Financial Condition and Capital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a clinical-stage biopharmaceutical company with a limited operating history and no products approved for commercial sale. We have incurred significant losses since our inception, and we anticipate that we will continue to incur significant losses for the foreseeable future, which, together with our limited operating history, makes it difficult to assess our future viability.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clinical-stage biopharmaceutical company, and we have only a limited operating history upon which you can evaluate our business and prospects. Biopharmaceutical product development is a highly speculative undertaking and involves a substantial degree of risk. We have no products approved for commercial sale and have not generated any revenue from sales of our product candidates and have incurred losses in each year since our inception in March 2011. We have only a limited operating history upon which you can evaluate our business and prospects. In addition, we have not yet demonstrated an ability to successfully overcome many of the risks and uncertainties frequently encountered by companies in new and rapidly evolving fields, particularly in the pharmaceutical, biopharmaceutical and biotechnology industry.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had significant operating losses since our inception. Our net loss for the years ended December 31, 2025 and 2024 was approximately $206.7 million and $138.2 million, respectively, and our net loss for the three and six months ended June 30, 2026 was approximately $55.3 million and $99.5 million, respectively. As of June 30, 2026, we had an accumulated deficit of approximately $1.0 billion. Substantially all of our losses have resulted from expenses incurred in connection with our research and development programs and from general and administrative costs associated with our operations. We expect to continue to incur losses for the foreseeable future, and we anticipate these losses will continue as we develop our product candidates, conduct clinical trials and pursue research and development activities. Even if we achieve profitability in the future, we may not be able to sustain profitability in subsequent periods. Our prior losses, combined with expected future losses, have had and will continue to have an adverse effect on our stockholders’ equity and working capital.</w:t>
      </w:r>
    </w:p>
    <w:p>
      <w:pPr>
        <w:pStyle w:val="TextBody"/>
        <w:bidi w:val="0"/>
        <w:spacing w:before="360" w:after="283"/>
        <w:jc w:val="both"/>
        <w:rPr>
          <w:rFonts w:ascii="Times New Roman" w:hAnsi="Times New Roman"/>
          <w:sz w:val="20"/>
        </w:rPr>
      </w:pPr>
      <w:r>
        <w:rPr>
          <w:rFonts w:ascii="Times New Roman" w:hAnsi="Times New Roman"/>
          <w:b/>
          <w:i/>
          <w:color w:val="000000"/>
          <w:sz w:val="20"/>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Since our inception, we have invested a significant portion of our efforts and financial resources in research and development activities. Our product candidates will require additional clinical development, and we intend to conduct additional research and development activities to discover and develop new product candidates, including conducting preclinical studies and clinical trials, all of which will require substantial additional funds. We will continue to expend significant resources for the foreseeable future in connection with these activities. These expenditures will include costs associated with conducting preclinical studies and clinical trials, obtaining regulatory approvals and manufacturing and supply, as well as marketing and selling any products approved for sale. In addition, other unanticipated costs may arise. Because the outcome of any preclinical study or clinical trial is highly uncertain, we cannot reasonably estimate the actual amounts necessary to successfully complete the development and commercialization of our product candidates or any future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2026, we had capital resources consisting of cash and cash equivalents and short-term investments of approximately $209.2 million. We expect our existing capital resources to fund planned operating expenses into 2028. However, our operating plans may change as a result of many factors currently unknown to us, and we may need to seek additional funds sooner than planned through public or private equity offerings or debt financings or other sources, such as strategic collaborations. We may also need to seek additional funds sooner than planned as result of changes in our development plans and regulatory requirements to support registration of our product candidates. Such financing may result in dilution to our stockholders, imposition of burdensome debt covenants and repayment obligations, or other restrictions that may affect our business. In addition, we may seek additional capital due to favorable market conditions or strategic considerations even if we believe we have sufficient funds for our current or future operating plans.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future capital requirements depend on many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progress, results and costs of researching and developing our current product candidates or any other future product candidates we choose to pursue, conducting preclinical studies and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of, and the costs involved in, obtaining feedback from regulators on our clinical trials and regulatory approvals for our product candidates or any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and characteristics of any additional product candidates we develop or acquire;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and amount of any milestone, royalty and/or other payments we are required to make pursuant to our current or any future license or collaboration agreements;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manufacturing our product candidates or any future product candidates and any products we successfully commercialize;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building a sales force in anticipation of product commercialization;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commercialization activities of our product candidates, if approved for sale, including marketing, sales and distribution costs;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establish strategic collaborations, licensing or other arrangements and the financial terms of any such agreements, including the timing and amount of any future milestone, royalty or other payments due under any such agreement;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product liability or other lawsuits related to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expenses needed to attract, hire and retain skilled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associated with operating as a public company;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involved in preparing, filing, prosecuting, maintaining, defending and enforcing our intellectual property portfolio;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receipt and amount of sales of any future approved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 funds may not be available when we need them, on terms that are acceptable to us, or at all. Our ability to raise additional capital may be adversely impacted by potential worsening global economic conditions, macroeconomic factors, including recent and potential bank failures, increasing inflation and interest rates, funding shortages at governmental and regulatory agencies on which we rely, exchange rate fluctuations and supply chain disruptions, geopolitical conflicts, such as the war in Ukraine and conflicts in the Middle East, and disruptions to and volatility in the credit and financial markets in the United States and worldwide. If adequate funds are not available to us on a timely basis, we may be required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 limit, reduce or terminate preclinical studies, clinical trials or other development activities for our product candidates or any future product candidate;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 limit, reduce or terminate our research and development activities;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 limit, reduce or terminate our efforts to establish manufacturing and sales and marketing capabilities or other activities that may be necessary to commercialize our product candidates or any future product candidate or reduce our flexibility in developing or maintaining our sales and marketing strategy.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 To date, we have primarily financed our operations through the sale of equity securities and warrants to purchase our equity securities. For example, in March 2026, we entered into a sales agreement (as amended from time to time), or Sales Agreement, with TD Securities (USA) LLC, or TD Cowen, pursuant to which we may offer and sell, from time to time through TD Cowen, at our option, shares of our common stock having an aggregate offering price of up to $150 million under an at-the-market offering program. We will be required to seek additional funding in the future and currently intend to do so through public or private equity offerings or debt financings, credit or loan facilities, collaborations or a combination of one or more of these funding sources. Our ability to raise additional funds will depend on financial, economic and other factors, many of which are beyond our control. Additional funds may not be available to us on acceptable terms or at all. If we raise additional funds by issuing equity securities </w:t>
      </w:r>
      <w:r>
        <w:rPr>
          <w:rFonts w:ascii="Times New Roman" w:hAnsi="Times New Roman"/>
          <w:color w:val="000000"/>
          <w:sz w:val="20"/>
          <w:u w:val="single"/>
        </w:rPr>
        <w:t>i</w:t>
      </w:r>
      <w:r>
        <w:rPr>
          <w:rFonts w:ascii="Times New Roman" w:hAnsi="Times New Roman"/>
          <w:color w:val="000000"/>
          <w:sz w:val="20"/>
        </w:rPr>
        <w:t xml:space="preserve">ncluding pursuant to sales under the Sales Agreement,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involve restrictive covenants limiting our flexibility in conducting future business activities, and, in the event of insolvency, debt holders would be repaid before holders of our equity securities received any distribution of our corporate assets.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Our debt obligations under the Loan and Security Agreement place restrictions on our operating and financial flexibility and could adversely affect our financial condition.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July 30, 2026, we entered into a Loan and Security Agreement, or Loan Agreement, with Oxford Finance LLC, as collateral agent, or Collateral Agent, and certain lenders from time to time party thereto, or Lenders, providing for term loans in an aggregate principal amount of up to $200.0 million, or Term Loans. Under the terms of the Loan Agreement, the Lenders made an initial term loan of $50.0 million funded on the effective date of the Loan Agreement. Three additional tranches in an aggregate principal amount of up to $100.0 million are available upon the achievement of specified milestones and conditions related to our vonaprument and tanruprubart registrational programs, and one additional uncommitted tranche in an aggregate principal amount of up to $50.0 million is available upon the mutual agreement of the Company and the Lenders. The Term Loans bear interest at a floating per annum rate equal to the greater of (i) the 1-Month CME Term SOFR plus 4.6% and (ii) 7.60%. The Term Loans mature on July 1, 2031, or June 1, 2032, depending on the achievement of certain milestones. We are required to make monthly payments of interest only until September 1, 2029, which can be extended to September 1, 2030 or September 1, 2031, depending on the achievement of certain milestones, after which monthly payments of both principal and interest will be due. The Term Loans may be prepaid, in whole or in part, at our option, subject to customary prepayment fees. We are also obligated to pay other customary fees for a loan facility of this size and type, including a final payment fee upon repayment of the Term Loans (whether at maturity, upon acceleration or by prepayment or otherwise). We granted the Collateral Agent a security interest in substantially all of our assets to secure our obligations under the Loan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debt obligations under the Loan Agreement could adversely impact us as follows: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require us to use a large portion of our cash flow to repay the outstanding principal balance, accrued and unpaid interest, prepayment fees, a final payment fee and other fees, if applicable, which will reduce the amount of cash flow available to fund working capital, capital expenditures, product candidate development and other general corporate purposes;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adversely impact our credit rating, which could increase borrowing costs and reduce our ability to raise funds on favorable terms;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 us to restrictive covenants, including financial covenants that require us to maintain certain liquidity levels and/or minimum revenue levels upon the occurrence of certain events, that may limit our future ability to take certain corporate actions, incur additional indebtedness, create liens, make investments or pay dividends or distributions, or to raise funds for capital expenditures, strategic acquisitions or business opportunities, R&amp;D, and other general corporate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 our vulnerability to adverse economic, industry and market conditions;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 our exposure to rising interest rates from variable rate indebtedness.</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ability to meet our payment obligations under the Loan Agreement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access the additional loan amounts available under the Loan Agreement. If we are unable to generate sufficient cash flows to service our payment obligations or satisfy our covenants under the Loan Agreement, we may need to refinance, restructure, or amend the terms of our debt, sell assets, reduce or delay capital investments, or seek to raise additional capital. If we are unable to implement one or more of these alternatives, we may be unable to meet our debt payment obligations which could result in an event of default. If we default under the Loan Agreement, the Lenders may accelerate all of our repayment obligations and exercise all of their rights and remedies under the Loan Agreement and applicable law, including foreclosing on substantially all of our assets, which secure our obligations under the Loan Agreement, potentially requiring us to renegotiate the terms of our indebtedness on terms less favorable to us. Further, if we are liquidated, the Lenders' right to repayment would be senior to the rights of the holders of our common stock to receive any proceeds from the liquidation. The Loan Agreement includes events of default, including, but not limited to, nonpayment of principal, interest, fees or other amounts; material inaccuracy of a representation or warranty; failure to perform or observe covenants; cross-defaults with certain other indebtedness; bankruptcy and insolvency events; material monetary judgment defaults; the occurrence of a material adverse change; impairment of the Lenders' security interest in the collateral; and delisting of our common stock. Upon the occurrence of an event of default (subject, in certain cases, to notice and grace periods), obligations under the Loan Agreement may be accelerated, thereby requiring us to repay the loans immediately. Any declaration by the Lenders of an event of default could significantly harm our business and prospects and could cause the price of our common stock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decline. Additionally, if we raise any additional debt financing, the terms of such additional debt could further restrict our operating and financial flexibility.</w:t>
      </w:r>
    </w:p>
    <w:p>
      <w:pPr>
        <w:pStyle w:val="TextBody"/>
        <w:bidi w:val="0"/>
        <w:spacing w:before="120" w:after="283"/>
        <w:jc w:val="both"/>
        <w:rPr>
          <w:rFonts w:ascii="Times New Roman" w:hAnsi="Times New Roman"/>
          <w:sz w:val="20"/>
        </w:rPr>
      </w:pPr>
      <w:r>
        <w:rPr>
          <w:rFonts w:ascii="Times New Roman" w:hAnsi="Times New Roman"/>
          <w:b/>
          <w:i/>
          <w:color w:val="000000"/>
          <w:sz w:val="20"/>
        </w:rPr>
        <w:t>Due to the significant resources required for the development of our product candidates, we must prioritize development of certain product candidates and/or certain disease indications. We may expend our limited resources on candidates or indications that do not yield a successful product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seek to maintain a process of prioritization and resource allocation among our programs to balance time, risk and cost, due to the significant resources required for the development of our product candidates. Our resources are primarily focused on advancing tanruprubart in GBS, and vonaprument in GA. If sufficient funding is not available, we may not be able to complete our planned clinical trials, or on the timelines we currently anticipate, and we may need to redesign, reduce the scope of or terminate some of our programs.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any decision to delay, terminate or collaborate with third parties in respect of certain programs may subsequently also prove to be suboptimal and could cause us to miss valuable opportunities. If we make incorrect determinations regarding the viability or market potential of any of our programs or product candidates or misread trends in the pharmaceutical, biopharmaceutical or biotechnology industry,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development and commercialization rights.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Conducting a global Phase 3 program for vonaprument in patients with dry AMD with GA will be expensive and time consuming, and we may need additional capital to complete the Phase 3 clinical program and even if favorable, the FDA and comparable foreign regulatory authorities may not accept data from our Phase 3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Recent regulatory engagement regarding the Phase 3 ARCHER II trial design has established a global registration path for vonaprument in the U.S. and Europe. As a result, we are conducting ARCHER II, a global sham-controlled double-masked, Phase 3 trial. The single-study program will be analyzed as two sub-studies for the U.S. in accordance with the FDA’s two-trial recommendation. There can be no assurance that the FDA and comparable regulatory authorities will accept the data from our Phase 3 program or determine that it is sufficient to support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Conducting large Phase 3 trials in multiple jurisdictions is expensive and can take many years to complete, and we cannot guarantee that clinical trials will be conducted as planned or completed timely, if at all. Our timeline and costs for ARCHER II could be substantially longer and larger than we initially planned. We may need additional capital to complete the Phase 3 clinical program for vonaprument and may not be able to raise sufficient capital in a timely manner which could delay or prevent us from completing our clinical trial, prevent us from seeking FDA approval of vonaprument, if ever, and could delay or prevent commercialization of vonaprument.</w:t>
      </w:r>
    </w:p>
    <w:p>
      <w:pPr>
        <w:pStyle w:val="TextBody"/>
        <w:bidi w:val="0"/>
        <w:spacing w:before="360" w:after="283"/>
        <w:jc w:val="both"/>
        <w:rPr>
          <w:rFonts w:ascii="Times New Roman" w:hAnsi="Times New Roman"/>
          <w:sz w:val="20"/>
        </w:rPr>
      </w:pPr>
      <w:r>
        <w:rPr>
          <w:rFonts w:ascii="Times New Roman" w:hAnsi="Times New Roman"/>
          <w:b/>
          <w:i/>
          <w:color w:val="000000"/>
          <w:sz w:val="20"/>
        </w:rPr>
        <w:t>Our results of operations may fluctuate significantly, which makes our future results of operations difficult to predict and could cause our results of operations to fall below expectations.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quarterly and annual results of operations may fluctuate significantly, which makes it difficult for us to predict our future results of operations. These fluctuations may occur due to a variety of factors, many of which are outside of our control and may be difficult to predict,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and cost of, and level of investment in, research, development and, if approved, commercialization activities relating to our product candidates, which may change from time to time;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and status of enrollment for our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manufacturing our product candidates, as well as building out our supply chain, which may vary depending on the quantity of production and the terms of our agreements with manufacturers;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expenditures that we may incur to acquire, develop or commercialize additional product candidates and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timing and amount of any milestone, royalty or other payments due under any collaboration or license agreement;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future accounting pronouncements or changes in our accounting policies;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and success or failure of preclinical studies and clinical trials for our product candidates or competing product candidates, or any other change in the competitive landscape of our industry, including consolidation among our competitors or partners;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of receipt of approvals for our product candidates from regulatory authorities in the United States and internationally;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coverage and reimbursement policies with respect to our product candidates, if approved, and potential future drugs that compete with our products;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level of demand for our product candidates, if approved, which may vary significantly over time.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cumulative effects of these factors could result in large fluctuations and unpredictability in our quarterly and annual results of operations. As a result, comparing our results of operations on a period-to-period basis may not be meaningful. Investors should not rely on our past results as an indication of our future performance.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variability and unpredictability could also result in our failing to meet the expectations of industry or financial analysts or investors for any period. If our revenue or results of operations fall below the expectations of analysts or investors or below any forecasts we may provide to the market, or if any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 </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business is heavily dependent on the successful development, regulatory approval and commercialization of our product candidates, some of which are in early stages of clinical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 products approved for sale, and some of our product candidates are in early stages of clinical development. The success of our business, including our ability to finance our company and generate revenue in the future, will primarily depend on the successful development, regulatory approval and commercialization of our product candidates and, in particular, the advancement of our current clinical-stage product candidates. However, given the stage of development of our product candidates, it may be many years, if we succeed at all, before we have demonstrated the safety, purity, potency and/or efficacy of a product candidate sufficient to warrant approval for commercialization. We cannot be certain that our product candidates will receive regulatory approval or be successfully commercialized even if we receive regulatory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inhibition of the complement pathway has been validated as a therapeutic approach, C1q inhibition is a novel therapeutic approach, which exposes us to certain risks. For example, we may discover that our product candidates do not possess certain properties required for therapeutic effectiveness, or even if found to be effective in one type of disease, they are not effective in other types of disease. In addition, given the novel nature of this therapeutic approach, designing preclinical studies and clinical trials to demonstrate the effect of the product candidates is complex and exposes us to risks, including that our biomarker-driven approach may not translate into therapeutic effectiveness.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future, we may also become dependent on other product candidates that we may develop or acquire. The clinical and commercial success of our product candidates and future product candidates will depend on a number of factors, including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raise any additional required capital on acceptable terms, or at all;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complete an investigational new drug application, or IND, enable studies and successfully submit INDs or comparable applications;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timely completion of our preclinical studies and clinical trials, which may be significantly slower or cost more than we currently anticipate and will depend substantially upon the performance of third-party contractors;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we are required by the FDA, or similar foreign regulatory agencies to conduct additional clinical trials or other studies beyond those planned to support the approval and commercialization of our product candidates or any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acceptance of our proposed indications and primary endpoint assessments relating to the proposed indications of our product candidates by the FDA and similar foreign regulatory authorities;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demonstrate to the satisfaction of the FDA and similar foreign regulatory authorities the safety, efficacy and acceptable risk to benefit profile of our product candidates or any future product candidates;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prevalence, duration and severity of potential side effects or other safety issues experienced with our product candidates or future approved products, if any;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timely receipt of necessary marketing approvals from the FDA and similar foreign regulatory authorities;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achieving and maintaining, and, where applicable, ensuring that our third-party contractors achieve and maintain compliance with our contractual obligations and with all regulatory requirements applicable to our product candidates or any future product candidates or approved products, if any;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third parties with whom we contract to manufacture adequate clinical trial and commercial supplies of our product candidates or any future product candidates remain in good standing with regulatory agencies and develop, validate and maintain commercially viable manufacturing processes that are compliant with current good manufacturing practices, or cGMPs;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achieve sufficient market acceptance, coverage and adequate reimbursement from third-party payors and adequate market share and revenue for any approved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convenience of our treatment or dosing regimen;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acceptance by physicians, payors and patients of the benefits, safety and efficacy of our product candidates or any future product candidates, if approved, including relative to alternative and competing treatments;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physicians, operators of clinics and patients to utilize or adopt any of our product candidates or any future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patient demand for our product candidates, if approved, including the willingness of patients to pay out-of-pocket for any approved products in the absence of coverage and/or adequate reimbursement from third-party payors;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establish and enforce intellectual property rights in and to our product candidates or any future product candidates;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avoid third-party patent interference, intellectual property challenges or intellectual property infringement claims.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factors, many of which are beyond our control, could cause us to experience significant delays or an inability to obtain regulatory approvals or commercialize our product candidates. Even if regulatory approvals are obtained, we may never be able to successfully commercialize any of our product candidates. Accordingly, we cannot provide assurances that we will be able to generate sufficient revenue through the sale of our product candidates or any future product candidates to continue our business or achieve profitability. </w:t>
      </w:r>
    </w:p>
    <w:p>
      <w:pPr>
        <w:pStyle w:val="TextBody"/>
        <w:bidi w:val="0"/>
        <w:spacing w:before="360" w:after="283"/>
        <w:jc w:val="both"/>
        <w:rPr>
          <w:rFonts w:ascii="Times New Roman" w:hAnsi="Times New Roman"/>
          <w:sz w:val="20"/>
        </w:rPr>
      </w:pPr>
      <w:r>
        <w:rPr>
          <w:rFonts w:ascii="Times New Roman" w:hAnsi="Times New Roman"/>
          <w:b/>
          <w:i/>
          <w:color w:val="000000"/>
          <w:sz w:val="20"/>
        </w:rPr>
        <w:t>Public health crises such as pandemics or similar outbreaks have, and could in the future, materially and adversely affect our preclinical and clinical trials, business,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result of public health crises, including the COVID-19 pandemic, we have experienced, and may in the future experience, disruptions that could materially and adversely impact our clinical trials, business, financial condition and results of operations. These disruptions include but are not limited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delays or difficulties in enrolling patients in our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delays or difficulties in initiating or expanding clinical trials, including delays or difficulties with clinical site initiation and recruiting clinical site investigators and clinical site staff;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increased rates of patients withdrawing from our clinical trials following enrollment as a result of health conditions;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interruption of key clinical trial activities, such as clinical trial site data monitoring and efficacy, safety and translational data collection, processing and analyses, due to limitations on travel imposed or recommended by federal, state or local governments, employers and others or interruption of clinical trial subject visits, which may impact the collection and integrity of subject data and clinical study endpoints;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diversion of healthcare resources away from the conduct of clinical trials, including the diversion of hospitals serving as our clinical trial sites and hospital staff supporting the conduct of our clinical trials;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delays or disruptions in preclinical experiments and IND-enabling studies due to restrictions of on-site staff and unforeseen circumstances at contract research organizations, or CROs, and vendors;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interruption or delays in the operations of the FDA and comparable foreign regulatory agencies;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interruption of, or delays in receiving, supplies of our product candidates from our contract manufacturing organizations due to staffing shortages, production slowdowns or stoppages and disruptions in delivery systems;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delays in receiving approval from local regulatory authorities to initiate our planned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limitations on employee or other resources that would otherwise be focused on the conduct of our clinical trials and pre-clinical work, including because of sickness of employees or their families, the desire of employees to avoid travel or contact with large groups of people, an increased reliance on working from home, school closures or mass transit disruptions;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regulations as part of a response to pandemics or similar outbreaks, which may require us to change the ways in which our clinical trials are conducted, which may result in unexpected costs, or to discontinue such clinical trials altogether;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delays in necessary interactions with regulators, ethics committees and other important agencies and contractors due to limitations in employee resources or forced furlough of government or contractor personnel;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refusal of the FDA to accept data from clinical trials in affected geographies outside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extent to which any future outbreak may affect our clinical trials, business, financial condition, results of operations and clinical development timelines and plans will depend on factors including the duration of the outbreak, rates of infection in the locations in which we and our CROs, third-party manufacturers, regulatory authorities and other third parties with whom we do business operate, business closures or business disruptions and the effectiveness of actions taken in the United States and other countries to contain and treat the disease. Future developments in these and other areas present material uncertainty and risk with respect to our clinical trials, business, financial condition and results of operations. </w:t>
      </w:r>
    </w:p>
    <w:p>
      <w:pPr>
        <w:pStyle w:val="TextBody"/>
        <w:bidi w:val="0"/>
        <w:spacing w:before="360" w:after="283"/>
        <w:jc w:val="both"/>
        <w:rPr>
          <w:rFonts w:ascii="Times New Roman" w:hAnsi="Times New Roman"/>
          <w:sz w:val="20"/>
        </w:rPr>
      </w:pPr>
      <w:r>
        <w:rPr>
          <w:rFonts w:ascii="Times New Roman" w:hAnsi="Times New Roman"/>
          <w:b/>
          <w:i/>
          <w:color w:val="000000"/>
          <w:sz w:val="20"/>
        </w:rPr>
        <w:t>Research and development of biopharmaceutical products is inherently risky. We cannot give any assurance that any of our product candidates will receive regulatory approval, which is necessary before they can be commercialized.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future success is dependent on our ability to successfully develop, obtain regulatory approval for and successfully commercialize our product candidates, and we may fail to do so for many reasons, including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product candidates may not successfully complete preclinical studies or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product candidate may be shown to have harmful side effects or other characteristics that indicate it does not meet applicable regulatory criteria;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competitors may develop therapeutics that render our product candidates obsolete or less attractive;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market for a product candidate may change so that the continued development of that product candidate is no longer reasonable or commercially attractive;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product candidate may not be capable of being produced in commercial quantities at an acceptable cost, or at all;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 product candidate obtains regulatory approval, we may be unable to establish sales and marketing capabilities, or successfully market such approved product candidate;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product candidate may not be accepted as safe and effective by patients, the medical community or third-party payors.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of these events occur,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we may never succeed in developing marketable products or generating product revenue.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not be successful in our efforts to further develop our current and future product candidates.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if we do not meet the clinical endpoints with statistical significance or if there are safety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concerns or adverse events associated with our product candidates, we may be prevented or delayed in obtaining marketing approval for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or other regulatory agencies may not agree with our clinical development plan and require that we conduct additional clinical trials to support our regulatory submissions. Regulatory agencies, including the FDA may require that we conduct more than one pivotal trial in order to gain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clinical trials must be conducted in accordance with the laws, rules and regulations, guidelines and other requirements of the FDA, the EMA, and other applicable regulatory authorities outside of those jurisdictions and are subject to oversight by these regulatory authorities and institutional review boards, or IRBs, or ethics committees at the medical institutions where such clinical trials are conducted. Further, conducting global clinical trials, as we do for GBS and GA, may require that we coordinate among the legal requirements and guidelines of regulatory authorities across a number of jurisdictions, including the United States, the EU, and countries outside of those jurisdictions, which could require that we amend clinical trial protocols or determine not to conduct a trial in one or more jurisdictions or to run separate trials in various jurisdictions due to the inability, cost or delay in harmonizing divergent requests from such regulatory authorities, all of which could increase costs. In addition, clinical trials that are conducted in countries outside the United States and the EU may subject us to risks associated with the engagement of non-United States and non-EU CROs who are unknown to the FDA or the EMA, or the EU member states’ regulatory authorities and may have different standards of diagnosis, screening and medical care, as well as risks associated with further delays and expenses as a result of increased shipment costs (including as a result of local quality release or in-country testing of a product candidate supply produced in a different jurisdiction for our clinical trials) and political and economic risks relevant to such countries outside the United States and the EU.</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any of our product candidates successfully completes clinical trials, we plan to seek regulatory approval to market our product candidates in the United States, the EU, and in additional foreign countries where we believe there is a viable commercial opportunity.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collaborators or partners to conduct the required activities to support an application for regulatory approval and to seek approval for one or more of our product candidates. We cannot be sure that any such collaborators or partners will conduct these activities successfully or do so within the timeframe we desire. Even if we or any future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we receive regulatory approval to market any of our product candidates, we cannot assure you that any such product candidate will be successfully commercialized, widely accepted in the marketplace or more effective than other commercially available alternatives. Any approval we may obtain could be for indications or patient populations that are not as broad as intended or desired or may require labeling that includes significant use or distribution restrictions or safety warnings. We may also be required to perform additional or unanticipated clinical trials to obtain approval or be subject to additional post-marketing testing requirements to maintain approval. In addition, regulatory authorities may withdraw their approval of a product or impose restrictions on its distribution, such as in the form of a Risk Evaluation and Mitigation Strategy, or REMS. The failure to obtain timely regulatory approval of product candidates, any product marketing limitations or a product withdrawal would negatively impact our business, results of operations and financial condition. </w:t>
      </w:r>
    </w:p>
    <w:p>
      <w:pPr>
        <w:pStyle w:val="TextBody"/>
        <w:bidi w:val="0"/>
        <w:spacing w:before="360" w:after="283"/>
        <w:jc w:val="both"/>
        <w:rPr>
          <w:rFonts w:ascii="Times New Roman" w:hAnsi="Times New Roman"/>
          <w:sz w:val="20"/>
        </w:rPr>
      </w:pPr>
      <w:r>
        <w:rPr>
          <w:rFonts w:ascii="Times New Roman" w:hAnsi="Times New Roman"/>
          <w:b/>
          <w:i/>
          <w:color w:val="000000"/>
          <w:sz w:val="20"/>
        </w:rPr>
        <w:t>We may encounter substantial delays in our clinical trials or may not be able to conduct or complete our clinical trials on the timelines we expect, if at all.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testing is expensive and can take many years to complete, and its outcome is inherently uncertain. We cannot guarantee that any clinical trials will be conducted as planned or completed on schedule, if at all. We cannot be sure that submission of an IND or a clinical trial application, or CTA, will result in the FDA or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Clinical trials can be delayed or terminated for a variety of reasons, including delays or failures related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generating sufficient preclinical, toxicology or other in vivo or in vitro data to support the initiation or continuation of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comparable foreign regulatory authorities disagreeing as to the design or implementation of our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delays in obtaining regulatory authorization to commence a trial;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reaching agreements on acceptable terms with prospective CROs and clinical trial sites, the terms of which can be subject to extensive negotiation and may vary significantly among different CROs and trial sites;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identifying, recruiting and training suitable clinical investigators;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IRB approval at each trial site;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imposition of a temporary or permanent clinical hold by regulatory agencies for a number of reasons, including after review of an IND or amendment, or equivalent foreign application or amendment;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new safety findings that present unreasonable risk to clinical trial participants;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negative finding from an inspection of our clinical trial operations or study sites;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recruiting an adequate number of suitable patients to participate in a trial;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having subjects complete a trial or return for post-treatment follow-up;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trial sites deviating from trial protocol or dropping out of a trial;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addressing subject safety concerns that arise during the course of a trial;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adding a sufficient number of clinical trial sites;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sufficient product supply of product candidates for use in preclinical studies or clinical trials from third-party suppliers.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experience numerous adverse or unforeseen events during, or as a result of, preclinical studies and clinical trials which could delay or prevent our ability to receive marketing approval or commercialize our product candidates,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receive feedback from regulatory authorities that requires us to modify the design of our clinical trials or require that we submit additional data or information before allowing a clinical trial to be initiated;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studies of our product candidates may produce negative or inconclusive results, and we may decide, or regulators may require us, to conduct additional clinical trials or abandon drug development programs;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of patients required for clinical trials of our product candidates may be larger than we anticipate, enrollment in these clinical trials may be slower than we anticipate or participants may drop out of these clinical trials at a higher rate than we anticipate;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third-party contractors may fail to comply with regulatory requirements, fail to maintain adequate quality controls or be unable to provide us with sufficient product supply to conduct and complete preclinical studies or clinical trials of our product candidates in a timely manner, or at all;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clinical trials of our product candidates may be greater than we anticipate;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quality of our product candidates or other materials necessary to conduct preclinical studies or clinical trials of our product candidates may be insufficient or inadequate;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regulators may revise the requirements and add new requirements for approving our product candidates, or such requirements may not be as we anticipate;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future collaborators may conduct clinical trials in ways they view as advantageous to them but that are suboptimal for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moderately positive or if there are safety concerns, we may: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incur unplanned costs;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 delayed in obtaining marketing approval for our product candidates or not obtain marketing approval at all;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 marketing approval in some countries and not in others;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 marketing approval for indications or patient populations that are not as broad as intended or desired;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 marketing approval with labeling that includes significant use or distribution restrictions or safety warnings, including boxed warnings;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 subject to additional post-marketing testing requirements;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have the product removed from the market after obtaining marketing approval.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we intend to seek FDA approval of tanruprubart for the treatment of patients with GBS. Our data package is based on completed placebo-controlled studies conducted in Southeast Asia. We filed a MAA with the EMA for tanruprubart for the treatment of GBS in January 2026, and we continue to engage with EU regulators through the MAA review process. Tanruprubart has been granted orphan designation from the EMA. Tanruprubart has also been granted Fast Track and orphan drug designation for the treatment of GBS from the FDA. The currently ongoing open-label FORWARD study in the U.S. and Europe, which is designed to broaden Western experience with tanruprubart, and we anticipate initial PK, PD, biomarker and functional data in the second half of 2026 to supplement our comprehensive data package for tanruprubart in GBS. Following such data, we plan to engage with the FDA with the goal of reaching alignment on the sufficiency of our current and supplemental data package and information supporting the generalizability of tanruprubart in Western patients for submission of a BLA in 2026. In our discussions to date with the FDA, the FDA has indicated that the generalizability package may not be sufficient to support BLA approval absent additional patient data. While we expect that the inclusion of U.S. and European results from the FORWARD study will support a BLA submission in GBS, it is possible the FDA determines that our current package is not sufficient or requires us to provide additional data in GBS patients that are not feasible to obtain. Our inability to satisfy such additional requirements by the FDA may result in the FDA failing to approve tanruprubart in GBS, which would prevent the commercialization of tanruprubart in GBS in the United States, and limit the size of our commercial market opportunity and our potential future revenues, and could otherwise have a material adverse effect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could also encounter delays if a clinical trial is suspended or terminated by us, by the IRBs of the institutions in which such trials are being conducted, by the Data Safety Monitoring Board, or DSMB, for such trial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conducting clinical trials in foreign countries, as we plan to do for certain of our product candidates, presents additional risks that may delay completion of our clinical trials. These risks include the failure of enrolled patients in foreign countries to adhere to clinical protocol as a result of differences in healthcare services or cultural customs and managing additional administrative burdens associated with foreign regulatory schemes, as well as political and economic risks.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the marketing application we submit. Any such delay or rejection could prevent or delay us from commercializing our current or future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experience delays in the completion, or termination, of any preclinical study or clinical trial of our product candidates, the commercial prospects of our product candidates may be harmed, and our ability to generate revenues from any of these product candidates will be delayed or not realized at all. In addition, any delays in completing our clinical trials may increase our costs, slow down our product candidate development and approval process and jeopardize our ability to commence product sales and generate revenues. Any of these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 If one or more of our product candidates proves to be ineffective, unsafe or commercially unviable, our business, financial condition, results of operations and prospects may be materially and adversely affected.</w:t>
      </w:r>
    </w:p>
    <w:p>
      <w:pPr>
        <w:pStyle w:val="TextBody"/>
        <w:bidi w:val="0"/>
        <w:spacing w:before="360" w:after="283"/>
        <w:jc w:val="both"/>
        <w:rPr>
          <w:rFonts w:ascii="Times New Roman" w:hAnsi="Times New Roman"/>
          <w:sz w:val="20"/>
        </w:rPr>
      </w:pPr>
      <w:r>
        <w:rPr>
          <w:rFonts w:ascii="Times New Roman" w:hAnsi="Times New Roman"/>
          <w:b/>
          <w:i/>
          <w:color w:val="000000"/>
          <w:sz w:val="20"/>
        </w:rPr>
        <w:t>If we encounter difficulties enrolling patients in our clinical trials, our clinical development activities could be delayed or otherwise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be able to initiate or continue clinical trials on a timely basis or at all for any product candidates we identify or develop if we are unable to locate and enroll a sufficient number of eligible patients to participate in the trials as required by applicable regulations or as needed to provide appropriate statistical power for a given trial. The timely completion of clinical trials in accordance with their protocols depends on, among other things, our ability to enroll a sufficient number of patients who remain in the study until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its conclusion. We may experience difficulties in patient enrollment in our clinical trials for a variety of reasons. The enrollment of patients depends on many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severity and difficulty of diagnosing the disease under investigation;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patient eligibility and exclusion criteria defined in the protocol;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size of the patient population required for analysis of the trial’s primary endpoints;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proximity of patients to trial sites;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design of the trial;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recruit clinical trial investigators with the appropriate competencies and experience;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existing body of safety and efficacy data with respect to the study drug and safety concerns;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patient referral practices of physicians;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 that enrolled subjects will drop out before completion of the trial, including as a result of health conditions or being forced to quarantine;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ability to monitor patients adequately during and after treatment;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availability and efficacy of approved medications or therapies, or other clinical trials, for the disease or condition under investigation;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clinicians’ and patients’ perceptions as to the potential advantages of the product candidate being studied in relation to other available therapies, including any new drugs that may be approved for the indications we are investigating;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obtain and maintain patient consents.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clinical trials may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In addition, patients may not opt to enroll in our trials because of the availability of approved therapeutics for their disease. Because the number of qualified clinical investigators is limited, we may conduct some of our clinical trials at the same clinical trial sites that some of our competitors use, which will reduce the number of patients who are available for our clinical trials in such clinical trial site. Delays in patient enrollment may result in increased costs or may affect the timing or outcome of the planned clinical trials, which could prevent completion of these trials and adversely affect our ability to advance the development of our product candidates.</w:t>
      </w:r>
    </w:p>
    <w:p>
      <w:pPr>
        <w:pStyle w:val="TextBody"/>
        <w:bidi w:val="0"/>
        <w:spacing w:before="360" w:after="283"/>
        <w:jc w:val="both"/>
        <w:rPr>
          <w:rFonts w:ascii="Times New Roman" w:hAnsi="Times New Roman"/>
          <w:sz w:val="20"/>
        </w:rPr>
      </w:pPr>
      <w:r>
        <w:rPr>
          <w:rFonts w:ascii="Times New Roman" w:hAnsi="Times New Roman"/>
          <w:b/>
          <w:i/>
          <w:color w:val="000000"/>
          <w:sz w:val="20"/>
        </w:rPr>
        <w:t>Adverse events or undesirable side effects caused by, or other unexpected properties of, any of our product candidates could halt their clinical development, delay or prevent their regulatory approval,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events or other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We have experienced adverse events during clinical trials, and may in the future experience, adverse or unforeseen events during, or as a result of, clinical trials. If unacceptable side effects arise in the development of our product candidates,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materially and adversely affect our business, financial condition,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early clinical trials may only include a limited number of subjects and limited duration of exposure to our product candidates. In particular, we are pursuing a novel approach to inhibiting upstream molecules of the classical complement pathway, primarily C1q, and as a result, our product candidates may cause unforeseen safety events when evaluated in larger patient populations. Further, clinical trials may not be sufficient to determine the effect and safety consequences of taking our product candidates over a multi-year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of our product candidates receives marketing approval, and we or others later identify undesirable and unforeseen side effects caused by such product, a number of potentially significant negative consequences could result, including but not limited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authorities may suspend, limit or withdraw approvals of such product, or seek an injunction against its manufacture or distribution;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required to conduct additional clinical trials or post-approval studies;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required to recall a product or change the way such product is administered to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additional restrictions may be imposed on the marketing of the particular product or the manufacturing processes for the product or any component thereof;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such as a “black box” warning or a contraindication, or issue safety alerts, Dear Healthcare Provider letters, press releases or other communications containing warnings or other safety information about the product;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required to implement a REMS or create a Medication Guide outlining the risks of such side effects for distribution to patients, a communication plan for healthcare providers and/or other elements to assure safe use;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could be sued and held liable for harm caused to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subject to fines, injunctions or the imposition of criminal penalties;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product may become less competitive;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prove to be unsafe, our business, financial condition, results of operations and prospects may be materially and adversely affected.</w:t>
      </w:r>
    </w:p>
    <w:p>
      <w:pPr>
        <w:pStyle w:val="TextBody"/>
        <w:bidi w:val="0"/>
        <w:spacing w:before="360" w:after="283"/>
        <w:jc w:val="both"/>
        <w:rPr>
          <w:rFonts w:ascii="Times New Roman" w:hAnsi="Times New Roman"/>
          <w:sz w:val="20"/>
        </w:rPr>
      </w:pPr>
      <w:r>
        <w:rPr>
          <w:rFonts w:ascii="Times New Roman" w:hAnsi="Times New Roman"/>
          <w:b/>
          <w:i/>
          <w:color w:val="000000"/>
          <w:sz w:val="20"/>
        </w:rPr>
        <w:t>Interim, “top-line” and preliminary data from studies or trials that we announce or publish from time to time may change as more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publicly disclose interim, “top-line” or preliminary data from preclinical studies or clinical trials. Interim data are subject to the risk that one or more of the outcomes may materially change as more data become available. We also make assumptions, estimations, calculations and conclusions as part of our analyses of data, and we may not have received or had the opportunity to fully and carefully evaluate all data when we publish such data. As a result, the “top-line”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preliminary data we previously published. As a result, “top-line” and preliminary data should be viewed with caution until the final data are available. From time to time, we also disclose interim data from our clinical studies. Interim data from clinical trials that we may complete are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If the “top-line,” preliminary or interim data that we report differ from final results, or if others, including regulatory authorities, disagree with the conclusions reached, our ability to obtain approval for, and commercialize, product candidates may be harmed, which could significantly harm our business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Even if our current or future product candidates obtain regulatory approval, they may fail to achieve the broad degree of physician and patient adoption and use necessary for commercial success.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one or more of our product candidates receive FDA or other regulatory approvals, the commercial success of any of our current or future product candidates will depend significantly on the broad adoption and use of the resulting product by physicians and patients for approved indications. Our product candidates may not be commercially successful. For a variety of reasons, including, among other things, competitive factors, pricing or physician preference, reimbursement by insurers, the degree and rate of physician and patient adoption of our current or future product candidates, if approved, will depend on a number of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clinical indications for which the product is approved and patient demand for approved products that treat those indications;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safety and efficacy of our product as compared to other available therapies; for example, with respect to vonaprument, physicians may prescribe or patients may prefer recently approved therapies for the treatment of GA;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availability of coverage and adequate reimbursement from managed care plans, insurers and other healthcare payors for any of our product candidates that may be approved;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acceptance by physicians, operators of clinics and patients of the product as a safe and effective treatment;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physician and patient willingness to adopt a new therapy over other available therapies to treat approved indications;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overcoming any biases physicians or patients may have toward particular therapies for the treatment of approved indications;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proper training and administration of our product candidates by physicians and medical staff;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public misperception regarding the use of our therapies, if approved for commercial sale;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patient satisfaction with the results and administration of our product candidates and overall treatment experience, including, for example, the convenience of any dosing regimen;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treatment with our product candidates in relation to alternative treatments and reimbursement levels, if any, and willingness to pay for the product, if approved, on the part of insurance companies and other third-party payors, physicians and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revenue and profitability that our products may offer a physician as compared to alternative therapies;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prevalence and severity of side effects;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limitations or warnings contained in the FDA-approved labeling for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willingness of physicians, operators of clinics and patients to utilize or adopt our products as a solution;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FDA requirement to undertake a REMS;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effectiveness of our sales, marketing and distribution efforts;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adverse publicity about our products or favorable publicity about competitive products;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potential product liability claims.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assure you that our current or future product candidates, if approved, will achieve broad market acceptance among physicians and patients. Any failure by our product candidates that obtain regulatory approval to achieve market acceptance or commercial success would adversely affect our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received Orphan Drug designation for tanruprubart for the treatment of GBS and HD in the United States and for GBS in Europe, and we may seek Orphan Drug designation for certain future product candidates. We may be unable to obtain such designations or to maintain the benefits associated with Orphan Drug designation, including market exclusivity, which may cause any revenue from product sales to be reduced.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received Orphan Drug designation in the United States for tanruprubart for the treatment of GBS and HD and for the treatment of GBS in Europe from the EMA. Although we may seek Orphan product designation for some or all of our other product candidates, we may never receive such designations. Under the Orphan Drug Act, the FDA may designate a drug or biologic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Orphan Drug designation must be requested before submitting a BLA, or new drug application, or NDA. In the EU, the EMA’s Committee for Orphan Medicinal Products, or COMP, grants Orphan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Drug designation to promote the development of products that are intended for the diagnosis, prevention or treatment of a life-threatening or chronically debilitating condition affecting not more 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if a product receives the first FDA approval for the indication for which it has orphan designation, the product is entitled to Orphan Drug exclusivity, which means the FDA may not approve any other application to market the same drug for the same disease or condition for a period of seven years, except in limited circumstances, such as a showing of clinical superiority over the product with Orphan exclusivity or where the manufacturer is unable to assure sufficient product quantity to the orphan patient population. Exclusive marketing rights in the United States may also be unavailable if we or our collaborators seek approval for an indication broader than the orphan designated indication and may be lost if the FDA later determines that the request for designation was materially defective. In the EU,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to not justify maintenance of market exclusivity.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we obtain Orphan Drug designation, we may not be the first to obtain marketing approval for any particular orphan indication due to the uncertainties associated with developing pharmaceutical products. Further, even if we obtain Orphan Drug exclusivity for a product candidate,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safer, more effective or makes a major contribution to patient care. Orphan Drug designation neither shortens the development time or regulatory review time of a drug or biologic nor gives the drug or biologic any advantage in the regulatory review or approval process.</w:t>
      </w:r>
    </w:p>
    <w:p>
      <w:pPr>
        <w:pStyle w:val="TextBody"/>
        <w:bidi w:val="0"/>
        <w:spacing w:before="360" w:after="283"/>
        <w:jc w:val="both"/>
        <w:rPr>
          <w:rFonts w:ascii="Times New Roman" w:hAnsi="Times New Roman"/>
          <w:sz w:val="20"/>
        </w:rPr>
      </w:pPr>
      <w:r>
        <w:rPr>
          <w:rFonts w:ascii="Times New Roman" w:hAnsi="Times New Roman"/>
          <w:b/>
          <w:i/>
          <w:color w:val="000000"/>
          <w:sz w:val="20"/>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seek a Breakthrough Therapy designation for our product candidates if the clinical data support such a designation for one or more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and biologics designated as breakthrough therapies by the FDA may also be eligible for priority review and rolling review of BLA or NDA submissions.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or decide that the time period for FDA review or approval will not be shortened.</w:t>
      </w:r>
    </w:p>
    <w:p>
      <w:pPr>
        <w:pStyle w:val="TextBody"/>
        <w:bidi w:val="0"/>
        <w:spacing w:before="360" w:after="283"/>
        <w:jc w:val="both"/>
        <w:rPr>
          <w:rFonts w:ascii="Times New Roman" w:hAnsi="Times New Roman"/>
          <w:sz w:val="20"/>
        </w:rPr>
      </w:pPr>
      <w:r>
        <w:rPr>
          <w:rFonts w:ascii="Times New Roman" w:hAnsi="Times New Roman"/>
          <w:b/>
          <w:i/>
          <w:color w:val="000000"/>
          <w:sz w:val="20"/>
        </w:rPr>
        <w:t>A Fast Track designation by the FDA or PRIME designation by the EMA, even if granted for any of our product candidates, may not lead to a faster development or regulatory review or approval process, and does not increase the likelihood that our product candidates will receive marketing approval.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has granted Fast Track designation for tanruprubart in GBS and for vonaprument in GA, and the EMA has granted PRIME designation for vonaprument in GA, and, in the future, we may seek Fast Track designation or PRIME designation for our product candidates. If a drug or biologic is intended for the treatment of a serious or life-threatening condition and the drug or biologic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demonstrates the potential to address unmet medical needs for this condition, the sponsor may apply for Fast Track designation. The sponsor of a Fast Track product candidate has opportunities for more frequent interactions with the applicable FDA review team during product development and, once a BLA or NDA is submitted, the application may be eligible for priority review. A Fast Track product candidate may also be eligible for rolling review, where the FDA may consider for review sections of the BLA or NDA on a rolling basis before the complete application is submitted, if the sponsor provides a schedule for the submission of the sections of the BLA or NDA, the FDA agrees to accept sections of the BLA or NDA and determines that the schedule is acceptable, and the sponsor pays any required user fees upon submission of the first section of the BLA or NDA. The FDA has broad discretion whether or not to grant this designation.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PRIME is a program launched by the EMA to enhance support for research on and development of medicines that have demonstrated preliminary safety and efficacy and thus the potential to target a significant unmet medical need and bring a major therapeutic advantage to patients. This regulatory program offers developers of promising medicines enhanced interaction and early dialogue with the EMA and is designed to optimize development plans and speed evaluation ensuring these medicines reach patients as early as possible. The EMA has broad discretion whether or not to grant this designation.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we believe a particular product candidate is eligible for these designations, we cannot assure you that the FDA, EMA or similar regulatory agency would decide to grant them. Fast Track and PRIME designations may not result in a faster development process, review or approval compared to conventional FDA or EMA procedures, respectively. In addition, the FDA may withdraw Fast Track designation if it believes that the designation is no longer supported by data from our clinical development program. The Fast Track and PRIME designations do not assure ultimate regulatory approval by the FDA or the EMA. Many drugs and biologics that have received Fast Track or PRIME designation have failed to obtain approval.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Disruptions at the FDA and other government agencies or foreign regulatory authorities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the FDA to review and/or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or comparable foreign regulatory authorities may also slow the time necessary for new drugs and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 Similar considerations are applicable to foreign regulatory authorities.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prolonged government shutdown occurs, or if new or existing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360" w:after="283"/>
        <w:jc w:val="both"/>
        <w:rPr>
          <w:rFonts w:ascii="Times New Roman" w:hAnsi="Times New Roman"/>
          <w:sz w:val="20"/>
        </w:rPr>
      </w:pPr>
      <w:r>
        <w:rPr>
          <w:rFonts w:ascii="Times New Roman" w:hAnsi="Times New Roman"/>
          <w:b/>
          <w:i/>
          <w:color w:val="000000"/>
          <w:sz w:val="20"/>
        </w:rPr>
        <w:t>We conduct, and in the future plan to conduct, clinical trials for product candidates outside the United States, and the FDA and comparable foreign regulatory authorities may not accept data from such trials.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conduct clinical trials of our product candidates outside the United States, and plan to continue to do so. For example, we conducted our Phase 1b GBS clinical trial of tanruprubart in Bangladesh, and completed our Phase 3 GBS clinical trial of tanruprubart in Bangladesh and the Philippines. We are also conducting a global Phase 3 program for vonaprument in dry AMD with GA. The acceptance of study data from clinical trials conducted outside the United States or the applicable jurisdiction by the FDA and comparable foreign regulatory authorities may be subject to certain conditions, or may not be accepted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particular, where data from foreign clinical trials are intended to serve as the sole basis for marketing approval in the United States, regardless of whether such trials were conducted under an IND, the FDA will not approve the application on the basis of foreign data alone unless those data are applicable to the United States population and United States medical practice, the trials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For trials that are conducted only at sites outside of the United States and not subject to an IND, the FDA requires the clinical trial to have been conducted in accordance with good clinical practice, or GCP, requirements, and the FDA must be able to validate the data from the clinical trial through an on-site inspection if it deems such inspection necessary. Additionally,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FDA’s clinical trial requirements, including sufficient size of patient populations and statistical powering, must be met. Many foreign regulatory bodies have similar approval requirements. In addition, foreign trials are subject to the applicable local laws of the foreign jurisdictions where the trials are conducted. There can be no assurance that the FDA, EMA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or the amendment of ongoing trials, which would be costly and time-consuming and delay aspects of our business plan or receiving approval or clearance for commercialization in the applicable jurisdiction.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support data from clinical trials conducted in foreign jurisdictions, applicants may submit clinical evidence, clinical trials, patient registries or other sources of RWE, such as electronic health records or the collection of larger confirmatory data sets. In particular, because all of our studies to date for tanruprubart in GBS have been conducted at sites outside the United States, we conducted a RWE study to assess comparability of disease populations in the US and ex-US using a large natural history database from IGOS. Published data from IGOS presents baseline characteristics of GBS patients in various jurisdictions and patient outcomes at certain timepoints over the course of their disease. We filed a MAA with the EMA for tanruprubart for the treatment of GBS in January 2026, and we continue to engage with EU regulators through the MAA review process. Tanruprubart has been granted orphan designation from the EMA. Tanruprubart has also been granted Fast Track and orphan drug designation for the treatment of GBS from the FDA. The currently ongoing open-label U.S./EU FORWARD study in the U.S. and Europe which is designed to broaden Western experience with tanruprubart, and we anticipate initial PK, PD, biomarker and functional data in 2026 to supplement our comprehensive data package for tanruprubart in GBS. Following such data, we plan to engage with the FDA with the goal of reaching alignment on our current and supplemental data package and information supporting the generalizability of tanruprubart in Western patients for submission of a BLA in 2026. In our discussions with the FDA, the FDA has indicated that the generalizability package may not be sufficient to support BLA approval absent additional patient data. While we expect that the inclusion of U.S. and European results from the FORWARD study will support a BLA submission in GBS, it is possible the FDA determines that our current package is not sufficient or requires us to provide additional data in GBS patients that are not feasible to obtain. Our inability to satisfy such additional requirements by the FDA may result in the FDA failing to approve tanruprubart in GBS, which would prevent the commercialization of tanruprubart in GBS in the United States, and limit the size of our commercial market opportunity and our potential future revenues, and could otherwise have a material adverse effect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are conducting a global registrational program of vonaprument for the treatment of dry AMD with GA. To accomplish this objective, we must obtain and maintain regulatory approvals and comply with regulatory requirements in each jurisdiction. We are in ongoing discussions with the relevant regulatory authorities. While we believe we have designed a global clinical development program that could satisfy the regulators in all of our target markets, there is no assurance that our efforts will be successful or that the various regulators will be aligned or accept the data from the Phase 3 program are sufficient to warrant approval of vonaprument.</w:t>
      </w:r>
    </w:p>
    <w:p>
      <w:pPr>
        <w:pStyle w:val="TextBody"/>
        <w:bidi w:val="0"/>
        <w:spacing w:before="360" w:after="283"/>
        <w:jc w:val="both"/>
        <w:rPr>
          <w:rFonts w:ascii="Times New Roman" w:hAnsi="Times New Roman"/>
          <w:sz w:val="20"/>
        </w:rPr>
      </w:pPr>
      <w:r>
        <w:rPr>
          <w:rFonts w:ascii="Times New Roman" w:hAnsi="Times New Roman"/>
          <w:b/>
          <w:i/>
          <w:color w:val="000000"/>
          <w:sz w:val="20"/>
        </w:rPr>
        <w:t>If the product candidates that we develop receive regulatory approval in the United States or another jurisdiction, they may never receive approval in other jurisdictions, which would limit market opportunities for our product candidates and adversely affect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Approval of a product candidate in the United States by the FDA or by the requisite regulatory agencies in any other jurisdiction does not ensure approval of such product candidate by regulatory authorities in other countries or jurisdictions. The approval process varies among countries and may limit our or any future collaborators’ ability to develop, manufacture, promote and sell product candidates internationally. Failure to obtain marketing approval in international jurisdictions would prevent the product candidates from being marketed outside of the jurisdictions in which regulatory approvals have been received. In order to market and sell product candidates in the EU, and many other jurisdictions, we and any future collaborators must obtain separate marketing approvals and comply with numerous and varying regulatory requirements. The approval procedure varies among countries and may involve additional preclinical studies or clinical trials both before and after approval. In many countries, any product candidate for human use must be approved for reimbursement before it can be approved for sale in that country. In some cases, the intended price for such product is also subject to approval. Further, while regulatory approval of a product candidate in one country does not ensure approval in any other country, a failure or delay in obtaining regulatory approval in one country may have a negative effect on the regulatory approval process in others. If we or any future collaborators fail to comply with the regulatory requirements in international markets or to obtain all required marketing approvals, the target market for a particular potential product will be reduced, which would limit our ability to realize the full market potential for the product and adversely affect our business. </w:t>
      </w:r>
    </w:p>
    <w:p>
      <w:pPr>
        <w:pStyle w:val="TextBody"/>
        <w:bidi w:val="0"/>
        <w:spacing w:before="360" w:after="283"/>
        <w:jc w:val="both"/>
        <w:rPr>
          <w:rFonts w:ascii="Times New Roman" w:hAnsi="Times New Roman"/>
          <w:sz w:val="20"/>
        </w:rPr>
      </w:pPr>
      <w:r>
        <w:rPr>
          <w:rFonts w:ascii="Times New Roman" w:hAnsi="Times New Roman"/>
          <w:b/>
          <w:i/>
          <w:color w:val="000000"/>
          <w:sz w:val="20"/>
        </w:rPr>
        <w:t>Any product candidates for which we intend to seek approval as biologic products may face competition sooner than anticipated.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Patient Protection and Affordable Care Act, signed into law on March 23, 2010, includes a subtitle called the Biologics Price Competition and Innovation Act of 2009, or the BPCIA, which created an abbreviated approval pathway for biological products that are biosimilar to or interchangeable with an FDA-licensed reference biological product. Under the BPCIA, an application for a biosimilar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is a risk that any of our product candidates approved as a biological product under a BLA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360" w:after="283"/>
        <w:jc w:val="both"/>
        <w:rPr>
          <w:rFonts w:ascii="Times New Roman" w:hAnsi="Times New Roman"/>
          <w:sz w:val="20"/>
        </w:rPr>
      </w:pPr>
      <w:r>
        <w:rPr>
          <w:rFonts w:ascii="Times New Roman" w:hAnsi="Times New Roman"/>
          <w:b/>
          <w:i/>
          <w:color w:val="000000"/>
          <w:sz w:val="20"/>
        </w:rPr>
        <w:t>We rely on third-party suppliers to manufacture our product candidates, and we intend to rely on third parties to produce commercial supplies of any approved product. The loss of these suppliers, or their failure to comply with applicable regulatory requirements or to provide us with sufficient quantities at acceptable quality levels or prices, or at all, would materially and adversely affect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have the ability, and we do not plan to build or acquire the infrastructure or capability internally, to manufacture supplies of our product candidates or the materials necessary to produce our product candidates for use in the conduct of our preclinical studies or clinical trials, and we lack the internal resources and the capability to manufacture any of our product candidates on a preclinical, clinical or commercial scale. The facilities used by our contract manufacturers to manufacture our product candidates are subject to various regulatory requirements and may be subject to the inspection of the FDA or other regulatory authorities. We do not control the manufacturing processes of, and are completely dependent on, our contract manufacturing partners for compliance with the regulatory requirements, known as cGMPs. If our contract manufacturers cannot successfully manufacture material that conforms to our specifications and the strict regulatory requirements of the FDA or comparable regulatory authorities in foreign jurisdictions, we may not be able to rely on their manufacturing facilities for the manufacture of our product candidates.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product candidates or if such facilities are subject to enforcement action in the future or are otherwise inadequate, we may need to find alternative manufacturing facilities, which would significantly impact our ability to develop, obtain regulatory approval for or market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currently intend to supply our product candidates in all territories for our clinical development programs, and rely on third parties at key stages in our supply chain. For instance, the supply chains for our product candidates involve several manufacturers that specialize in specific operations of the manufacturing process, specifically, raw materials manufacturing, drug substance manufacturing and drug product manufacturing. As a result, the supply chain for the manufacturing of our product candidates is complicated, and we expect the logistical challenges associated with our supply chain to grow more complex as our product candidates are further developed.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do not have any control over the process or timing of the acquisition or manufacture of materials by our manufacturers. We generally do not begin preclinical or clinical trials unless we believe we have access to a sufficient supply of a product candidate to complete such study. In addition, any significant delay in, or quality control problems with respect to, the supply of a product candidate, or the raw material components thereof, for an ongoing study could considerably delay completion of our preclinical or clinical trials, product testing and potential regulatory approval of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not yet engaged any manufacturers for the commercial supply of our product candidates. Although we intend to enter into such agreements prior to commercial launch of any of our product candidates, we may be unable to enter into any such agreement or do so on commercially reasonable terms, which could have a material adverse impact upon our business. Moreover, if there is a disruption to one or more of our third-party manufacturers’ or suppliers’ relevant operations, or if we are unable to enter into arrangements for the commercial supply of our product candidates, we will have no other means of producing our product candidates until they restore the affected facilities or we or they procure alternative manufacturing facilities or sources of supply. Our ability to progress our preclinical and clinical programs could be materially and adversely impacted if any of the third-party suppliers upon which we rely were to experience a significant business challenge, disruption or failure due to issues such as financial difficulties or bankruptcy, issues relating to other customers such as regulatory or quality compliance issues, or other financial, legal, regulatory or reputational issues. Additionally, any damage to or destruction of our third-party manufacturers’ or suppliers’ facilities or equipment may significantly impair our ability to manufacture our product candidates on a timely basis.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manufacture our product candidates in the quantities we believe would be required to meet anticipated market demand, our third-party manufacturers would likely need to increase manufacturing capacity and we may need to secure alternative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sources of commercial supply, which could involve significant challenges and may require additional regulatory approvals. In addition, the development of commercial-scale manufacturing capabilities may require us and our third-party manufacturers to invest substantial additional funds and hire and retain the technical personnel who have the necessary manufacturing experience. Neither we nor our third-party manufacturers may successfully complete any required increase to existing manufacturing capacity in a timely manner, or at all. If our manufacturers or we are unable to purchase the raw materials necessary for the manufacture of our product candidates on acceptable terms, at sufficient quality levels or in adequate quantities, if at all, the commercial launch of our product candidates would be delayed or there would be a shortage in supply, which would impair our ability to generate revenues from the sale of such product candidates, if approved. </w:t>
      </w:r>
    </w:p>
    <w:p>
      <w:pPr>
        <w:pStyle w:val="TextBody"/>
        <w:bidi w:val="0"/>
        <w:spacing w:before="360" w:after="283"/>
        <w:jc w:val="both"/>
        <w:rPr>
          <w:rFonts w:ascii="Times New Roman" w:hAnsi="Times New Roman"/>
          <w:sz w:val="20"/>
        </w:rPr>
      </w:pPr>
      <w:r>
        <w:rPr>
          <w:rFonts w:ascii="Times New Roman" w:hAnsi="Times New Roman"/>
          <w:b/>
          <w:i/>
          <w:color w:val="000000"/>
          <w:sz w:val="20"/>
        </w:rPr>
        <w:t>We rely on third parties in the conduct of all of our preclinical studies and clinical trials. If these third parties do not successfully carry out their contractual duties, fail to comply with applicable regulatory requirements or meet expected deadlines, we may be unable to obtain regulatory approval for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currently do not have the ability to independently conduct preclinical studies or clinical trials that comply with the regulatory requirements known as GLP requirements or GCP requirements, respectively. The FDA and regulatory authorities in other jurisdictions require us to comply with GCP requirements for conducting, monitoring, recording and reporting the results of clinical trials, in order to ensure that the data and results are scientifically credible and accurate and that the trial subjects are adequately informed of the potential risks of participating in clinical trials. We rely on medical institutions, clinical investigators, contract laboratories and other third parties, such as CROs, to conduct GLP-compliant preclinical studies and GCP-compliant clinical trials on our product candidates properly and on time. While we have agreements governing their activities, we control only certain aspects of their activities and have limited influence over their actual performance. The third parties with whom we contract for execution of our GLP-compliant preclinical studies and our GCP-compliant clinical trials play a significant role in the conduct of these studies and the subsequent collection and analysis of data. These third parties are not our employees and, except for restrictions imposed by our contracts with such third parties, we have limited ability to control the amount or timing of resources that they devote to our programs. Although we rely on these third parties to conduct our GLP-compliant preclinical studies and GCP-compliant clinical trials, we remain responsible for ensuring that each of our preclinical studies and clinical trials is conducted in accordance with its investigational plan and protocol and applicable laws and regulations, and our reliance on the CROs does not relieve us of our regulatory responsibilities.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preclinical studies or our clinical trials do not adequately perform their contractual duties or obligations, experience significant business challenges, disruptions or failures, do not meet expected deadlines, terminate their agreements with us or need to be replaced, or if the quality or accuracy of the data they obtain is compromised due to their failure to adhere to our protocols or to GLPs or GCPs, or for any other reason, we may need to enter into new arrangements with alternative third parties. This could be difficult, costly or impossible, and our preclinical studies or clinical trials may need to be extended, delayed, terminated or repeated. As a result we may not be able to obtain regulatory approval in a timely fashion, or at all, for the applicable product candidate, our business, financial results and the commercial prospects for our product candidates would be harmed, our costs could increase, and our ability to generate revenues could be delayed.</w:t>
      </w:r>
    </w:p>
    <w:p>
      <w:pPr>
        <w:pStyle w:val="TextBody"/>
        <w:bidi w:val="0"/>
        <w:spacing w:before="360" w:after="283"/>
        <w:jc w:val="both"/>
        <w:rPr>
          <w:rFonts w:ascii="Times New Roman" w:hAnsi="Times New Roman"/>
          <w:sz w:val="20"/>
        </w:rPr>
      </w:pPr>
      <w:r>
        <w:rPr>
          <w:rFonts w:ascii="Times New Roman" w:hAnsi="Times New Roman"/>
          <w:b/>
          <w:i/>
          <w:color w:val="000000"/>
          <w:sz w:val="20"/>
        </w:rPr>
        <w:t>If we are not successful in identifying, developing and commercializing additional product candidates, our ability to expand our business and achieve our strategic objectives would be impaired.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Although a substantial amount of our effort will focus on the continued development and potential approval of our current product candidates, a key element of our strategy is to identify, develop and commercialize a portfolio of products that address classical complement-mediated autoimmune and neurodegenerative diseases. A component of our strategy is to evaluate our product candidates in multiple indications based, in part, on our evaluation of certain biomarkers in a disease area. For example, we intend to evaluate tanruprubart in neurodegenerative diseases, including ALS and HD; however, we are continuing to evaluate tanruprubart in these patient populations, and even if we believe we have obtained positive clinical results in patients with one of these neurodegenerative diseases, such results may not be replicated in later studies evaluating tanruprubart in patients with the same disease or across other neurodegenerative or autoimmune diseases. Even though we are currently developing a pipeline of product candidates, our development efforts may still fail to yield product candidates potentially suitable for commercialization for many reasons, including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competitors may develop alternatives that render our product candidates obsolete;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candidates we develop may be covered by third parties’ patents or other exclusive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product candidate may be shown to have harmful side effects or other characteristics that indicate it is unlikely to be effective or otherwise does not meet applicable regulatory criteria;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product candidate may not be capable of being produced in commercial quantities at an acceptable cost, or at all;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product candidate may not be accepted as safe and effective by physicians and patients.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therefore cannot provide any assurance that we will be able to successfully identify or acquire additional product candidates, advance any of these additional product candidates through the development process, successfully commercialize any such additional product candidates, if approved, or assemble sufficient resources to identify, acquire, develop or, if approved, commercialize additional product candidates. If we are unable to successfully identify, acquire, develop and commercialize additional product candidates, our commercial opportunities may be limited.</w:t>
      </w:r>
    </w:p>
    <w:p>
      <w:pPr>
        <w:pStyle w:val="TextBody"/>
        <w:bidi w:val="0"/>
        <w:spacing w:before="360" w:after="283"/>
        <w:jc w:val="both"/>
        <w:rPr>
          <w:rFonts w:ascii="Times New Roman" w:hAnsi="Times New Roman"/>
          <w:sz w:val="20"/>
        </w:rPr>
      </w:pPr>
      <w:r>
        <w:rPr>
          <w:rFonts w:ascii="Times New Roman" w:hAnsi="Times New Roman"/>
          <w:b/>
          <w:i/>
          <w:color w:val="000000"/>
          <w:sz w:val="20"/>
        </w:rPr>
        <w:t>We face significant competition in an environment of rapid technological and scientific change, and our product candidates, if approved, will face significant competition, which may prevent us from achieving significant market penetration. Most of our competitors have significantly greater resources than we do, and we may not be able to successfully compete.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pharmaceutical, biopharmaceutical and biotechnology industries in particular are characterized by rapidly advancing technologies, intense competition and a strong emphasis on developing proprietary therapeutics. Numerous companies are engaged in the development, patenting, manufacturing and marketing of healthcare products competitive with those that we are developing. We face competition from a number of sources, such as pharmaceutical, biopharmaceutical and biotechnology companies, generic drug companies and academic and research institutions, many of which have greater financial resources, marketing capabilities, sales forces, manufacturing capabilities, research and development capabilities, clinical trial expertise, intellectual property portfolios, experience in obtaining patents and regulatory approvals for product candidates and other resources than we do. Some of the companies also have a broad range of other product offerings, large direct sales forces and long-term customer relationships with our target physicians, which could inhibit our market penetration efforts. Mergers and acquisitions in the pharmaceutical, biopharmaceutical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alternative treatments offered by competitors may be available at lower prices and may offer greater efficacy or better safety profiles. Furthermore, currently approved products could be discovered to have application for the intended indication of our product candidates, which could give such products significant regulatory and market timing advantages over any of our product candidates. Our competitors also may obtain FDA, EMA, or other regulatory approval for their products more rapidly than we may obtain approval for ours and may obtain orphan product exclusivity from the FDA for indications our product candidates are targeting, which could result in our competitors establishing a strong market position before we are able to enter the market. For example, with respect to vonaprument, there are two approved products for GA which may pose competition for vonaprument, if approved. For additional information regarding our competition, see the section titled “Business—Competition” in our Annual Report on Form 10-K for the year ended December 31, 2025.</w:t>
      </w:r>
    </w:p>
    <w:p>
      <w:pPr>
        <w:pStyle w:val="TextBody"/>
        <w:bidi w:val="0"/>
        <w:spacing w:before="360" w:after="283"/>
        <w:jc w:val="both"/>
        <w:rPr>
          <w:rFonts w:ascii="Times New Roman" w:hAnsi="Times New Roman"/>
          <w:sz w:val="20"/>
        </w:rPr>
      </w:pPr>
      <w:r>
        <w:rPr>
          <w:rFonts w:ascii="Times New Roman" w:hAnsi="Times New Roman"/>
          <w:b/>
          <w:i/>
          <w:color w:val="000000"/>
          <w:sz w:val="20"/>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products and decrease our ability to generate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Obtaining coverage and adequate reimbursement for our products may be particularly difficult because of the higher prices often associated with drugs administered under the supervision of a physician. Even if we obtain coverage for our product candidates by a third-party payor, the resulting reimbursement payment rates may not be adequate or may require co-payments that patients find unacceptably high. Additionally, separate reimbursement for the product itself or the treatment or procedure in which the product is used may not be available, which may impact physician utilization. We cannot be sure that coverage and reimbursement in the United States, the EU or elsewhere will be available for our product candidates or any product that we may develop, and any reimbursement that may become available may be decreased or eliminated in the future.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Third-party payors increasingly are challenging prices charged for pharmaceutical, biopharmaceutical and biotechnology products and services, and many third-party payors may refuse to provide coverage and reimbursement for particular drugs or biologics when an equivalent generic drug, biosimilar or a less expensive therapy is available. </w:t>
      </w:r>
      <w:r>
        <w:rPr>
          <w:rFonts w:ascii="Times New Roman" w:hAnsi="Times New Roman"/>
          <w:color w:val="231F20"/>
          <w:sz w:val="20"/>
        </w:rPr>
        <w:t>For example, the U.S. Department of Health and Human Services, or HHS, imposes rebates on many Medicare Part B and Medicare Part D products to penalize price increases</w:t>
      </w:r>
      <w:r>
        <w:rPr>
          <w:rFonts w:ascii="Times New Roman" w:hAnsi="Times New Roman"/>
          <w:color w:val="000000"/>
          <w:sz w:val="20"/>
        </w:rPr>
        <w:t xml:space="preserve"> that </w:t>
      </w:r>
      <w:r>
        <w:rPr>
          <w:rFonts w:ascii="Times New Roman" w:hAnsi="Times New Roman"/>
          <w:color w:val="231F20"/>
          <w:sz w:val="20"/>
        </w:rPr>
        <w:t xml:space="preserve">outpace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231F20"/>
          <w:sz w:val="20"/>
        </w:rPr>
        <w:t>inflation. In addition, HHS has been empowered to negotiate the price of certain single-source drugs that have been on the market</w:t>
      </w:r>
      <w:r>
        <w:rPr>
          <w:rFonts w:ascii="Times New Roman" w:hAnsi="Times New Roman"/>
          <w:color w:val="000000"/>
          <w:sz w:val="20"/>
        </w:rPr>
        <w:t xml:space="preserve"> for </w:t>
      </w:r>
      <w:r>
        <w:rPr>
          <w:rFonts w:ascii="Times New Roman" w:hAnsi="Times New Roman"/>
          <w:color w:val="231F20"/>
          <w:sz w:val="20"/>
        </w:rPr>
        <w:t>at least 7 years and single-source biologics that have been on the market for at least 11 years covered under Medicare as part</w:t>
      </w:r>
      <w:r>
        <w:rPr>
          <w:rFonts w:ascii="Times New Roman" w:hAnsi="Times New Roman"/>
          <w:color w:val="000000"/>
          <w:sz w:val="20"/>
        </w:rPr>
        <w:t xml:space="preserve"> of </w:t>
      </w:r>
      <w:r>
        <w:rPr>
          <w:rFonts w:ascii="Times New Roman" w:hAnsi="Times New Roman"/>
          <w:color w:val="231F20"/>
          <w:sz w:val="20"/>
        </w:rPr>
        <w:t>the Medicare Drug Price Negotiation Program. Each year up to twenty (20) products</w:t>
      </w:r>
      <w:r>
        <w:rPr>
          <w:rFonts w:ascii="Times New Roman" w:hAnsi="Times New Roman"/>
          <w:color w:val="000000"/>
          <w:sz w:val="20"/>
        </w:rPr>
        <w:t xml:space="preserve"> will be </w:t>
      </w:r>
      <w:r>
        <w:rPr>
          <w:rFonts w:ascii="Times New Roman" w:hAnsi="Times New Roman"/>
          <w:color w:val="231F20"/>
          <w:sz w:val="20"/>
        </w:rPr>
        <w:t>selected by HHS for the Medicare Drug Price Negotiation Program. Products subject to the Medicare Drug Price Negotiation Program are expected to experience a significant reduction in</w:t>
      </w:r>
      <w:r>
        <w:rPr>
          <w:rFonts w:ascii="Times New Roman" w:hAnsi="Times New Roman"/>
          <w:color w:val="000000"/>
          <w:sz w:val="20"/>
        </w:rPr>
        <w:t xml:space="preserve"> reimbursement </w:t>
      </w:r>
      <w:r>
        <w:rPr>
          <w:rFonts w:ascii="Times New Roman" w:hAnsi="Times New Roman"/>
          <w:color w:val="231F20"/>
          <w:sz w:val="20"/>
        </w:rPr>
        <w:t>from the Medicare program on</w:t>
      </w:r>
      <w:r>
        <w:rPr>
          <w:rFonts w:ascii="Times New Roman" w:hAnsi="Times New Roman"/>
          <w:color w:val="000000"/>
          <w:sz w:val="20"/>
        </w:rPr>
        <w:t xml:space="preserve"> a </w:t>
      </w:r>
      <w:r>
        <w:rPr>
          <w:rFonts w:ascii="Times New Roman" w:hAnsi="Times New Roman"/>
          <w:color w:val="231F20"/>
          <w:sz w:val="20"/>
        </w:rPr>
        <w:t>per unit basis</w:t>
      </w:r>
      <w:r>
        <w:rPr>
          <w:rFonts w:ascii="Times New Roman" w:hAnsi="Times New Roman"/>
          <w:color w:val="000000"/>
          <w:sz w:val="20"/>
        </w:rPr>
        <w:t xml:space="preserve">. If coverage and adequate reimbursement are not available, or are available only to limited levels, we may not be able to successfully commercialize our </w:t>
      </w:r>
      <w:r>
        <w:rPr>
          <w:rFonts w:ascii="Times New Roman" w:hAnsi="Times New Roman"/>
          <w:color w:val="231F20"/>
          <w:sz w:val="20"/>
        </w:rPr>
        <w:t>current and any future product candidates that we develop, which could have an adverse effect on our operating results and our overall</w:t>
      </w:r>
      <w:r>
        <w:rPr>
          <w:rFonts w:ascii="Times New Roman" w:hAnsi="Times New Roman"/>
          <w:color w:val="000000"/>
          <w:sz w:val="20"/>
        </w:rPr>
        <w:t xml:space="preserve">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in the United States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Outside the United States, international operations are generally subject to extensive governmental price controls and other market regulations, and we believe the increasing emphasis on cost-containment initiatives in Europe and other foreign jurisdictions have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amounts that we are able to charge for our product candidates. Accordingly, in markets outside the United States, the reimbursement for our product candidates may be reduced compared with the United States and may be insufficient to generate commercially reasonable revenue and profits.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 </w:t>
      </w:r>
    </w:p>
    <w:p>
      <w:pPr>
        <w:pStyle w:val="TextBody"/>
        <w:bidi w:val="0"/>
        <w:spacing w:before="360" w:after="283"/>
        <w:jc w:val="both"/>
        <w:rPr>
          <w:rFonts w:ascii="Times New Roman" w:hAnsi="Times New Roman"/>
          <w:sz w:val="20"/>
        </w:rPr>
      </w:pPr>
      <w:r>
        <w:rPr>
          <w:rFonts w:ascii="Times New Roman" w:hAnsi="Times New Roman"/>
          <w:b/>
          <w:i/>
          <w:color w:val="000000"/>
          <w:sz w:val="20"/>
        </w:rPr>
        <w:t>We currently have no sales organization. If we are unable to establish sales capabilities on our own or through third parties, we may not be able to market and sell our product candidates, if approved, effectively in the United States and foreign jurisdictions or generate product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currently do not have a marketing or sales organization. In order to commercialize our product candidates in the United States and foreign jurisdictions, we must build our marketing, sales, distribution, managerial and other non-technical capabilities or make arrangements with third parties to perform these services, and we may not be successful in doing so. If any of our product candidates receive regulatory approval, we expect to establish a sales organization with technical expertise and supporting distribution capabilities to commercialize each such product candidate, which will be expensive and time consuming. We have no prior experience in the marketing, sale and distribution of pharmaceutical, biopharmaceutical and biotechnology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product candidates. If we are not successful in commercializing our product candidates or any future product candidates, either on our own or through arrangements with one or more third parties, we may not be able to generate any future product revenue and we would incur significant additional losses.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We will need to increase the size of our organization, and we may experience difficulties in managing growth.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we had 92 full-time employees. We will need to continue to expand our managerial, operational, finance and other resources in order to manage our operations and clinical trials, continue our development activities and commercialize our product candidates or any future product candidates. Our management and personnel, systems and facilities currently in place may not be adequate to support our growth. Our need to effectively execute our growth strategy requires that we: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manage our clinical trials effectively;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successfully commercialize tanruprubart and any of our other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identify, recruit, retain, incentivize and integrate additional employees, including sales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manage our internal development and operational efforts effectively while carrying out our contractual obligations to third parties;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improve our operational, financial and management controls, reports systems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management is unable to effectively manage our growth, our expenses may increase more than expected. Our future financial performance and our ability to compete effectively will depend, in part, on our ability to effectively manage any future growth.</w:t>
      </w:r>
    </w:p>
    <w:p>
      <w:pPr>
        <w:pStyle w:val="TextBody"/>
        <w:bidi w:val="0"/>
        <w:spacing w:before="360" w:after="283"/>
        <w:jc w:val="both"/>
        <w:rPr>
          <w:rFonts w:ascii="Times New Roman" w:hAnsi="Times New Roman"/>
          <w:sz w:val="20"/>
        </w:rPr>
      </w:pPr>
      <w:r>
        <w:rPr>
          <w:rFonts w:ascii="Times New Roman" w:hAnsi="Times New Roman"/>
          <w:b/>
          <w:i/>
          <w:color w:val="000000"/>
          <w:sz w:val="20"/>
        </w:rPr>
        <w:t>If we fail to attract and retain senior management and key scientific personnel, our business may be materially and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success depends in part on our continued ability to attract, retain and motivate highly qualified management and clinical and scientific personnel. We are highly dependent upon members of our senior management, as well as our senior scientists. The loss of services of any of these individuals could delay or prevent the successful development of our product pipeline, initiation or completion of our planned clinical trials or the commercialization of our product candidates or any future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guarantee that we will not face turnover in the future. Our ability to execute our business strategies may be adversely affected by the uncertainty associated with any transition and the time and management attention needed to fill any vacant role could disrupt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Competition for qualified personnel in the pharmaceutical, biopharmaceutical and biotechnology field is intense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 </w:t>
      </w:r>
    </w:p>
    <w:p>
      <w:pPr>
        <w:pStyle w:val="TextBody"/>
        <w:bidi w:val="0"/>
        <w:spacing w:before="360" w:after="283"/>
        <w:jc w:val="both"/>
        <w:rPr>
          <w:rFonts w:ascii="Times New Roman" w:hAnsi="Times New Roman"/>
          <w:sz w:val="20"/>
        </w:rPr>
      </w:pPr>
      <w:r>
        <w:rPr>
          <w:rFonts w:ascii="Times New Roman" w:hAnsi="Times New Roman"/>
          <w:b/>
          <w:i/>
          <w:color w:val="000000"/>
          <w:sz w:val="20"/>
        </w:rPr>
        <w:t>If product liability lawsuits are brought against us, we may incur substantial liabilities and may be required to limit commercialization of our current or future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breach of warranty. Claims could also be asserted under state consumer protection acts. If we cannot successfully defend ourselves against product liability claims, we may incur substantial liabilities or be required to limit commercialization of our product candidates. Even a successful defense would require significant financial and management resources. Regardless of the merits or eventual outcome, liability claims may result in: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decreased demand for our current or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diversion of management’s time and our resources;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investigations, product recalls, withdrawals or labeling, marketing or promotional restrictions;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loss of revenue;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inability to commercialize our current or any future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are unable to obtain and maintain sufficient product liability insurance at an acceptable cost and scope of coverage to protect against potential product liability claims, the commercialization of our current or any future product candidates we develop could be inhibited or prevented. We currently carry product liability insurance covering our clinical trials.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 If and when we obtain approval for marketing any of our product candidates, we intend to expand our insurance coverage to include the sale of such product candidate; however, we may be unable to obtain this liability insurance on commercially reasonable terms or at all. </w:t>
      </w:r>
    </w:p>
    <w:p>
      <w:pPr>
        <w:pStyle w:val="TextBody"/>
        <w:bidi w:val="0"/>
        <w:spacing w:before="360" w:after="283"/>
        <w:jc w:val="both"/>
        <w:rPr>
          <w:rFonts w:ascii="Times New Roman" w:hAnsi="Times New Roman"/>
          <w:sz w:val="20"/>
        </w:rPr>
      </w:pPr>
      <w:r>
        <w:rPr>
          <w:rFonts w:ascii="Times New Roman" w:hAnsi="Times New Roman"/>
          <w:b/>
          <w:i/>
          <w:color w:val="000000"/>
          <w:sz w:val="20"/>
        </w:rPr>
        <w:t>Any collaboration arrangements that we may enter into in the future may not be successful, which could adversely affect our ability to develop and commercialize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While we have not entered into any collaboration agreements to date, we may seek collaboration arrangements for the commercialization, or potentially for the development, of certain of our product candidates depending on the merits of retaining commercialization rights for ourselves as compared to entering into collaboration arrangements. For example, certain of the disease areas that we believe our product candidates address, including, among others, ophthalmic indications, require large, costly and later-stage clinical trials, which a collaboration partner may be better positioned to finance and/or conduct. In addition, a component of our strategy is to maximize the commercial value of our current and future product candidates, which may also strategically align with partnering commercial rights with partners that have larger and established sales organizations. To the extent that we decide to enter into collaboration agreements, we may face significant competition for appropriate collaborators. Moreover, collaboration arrangements are complex and time-consuming to negotiate, document, implement and maintain and challenging to manage. We may not be successful in our efforts to enter into collaboration agreements. The terms of collaborations or other arrangements that we may establish may not be favorable to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success of our collaboration arrangements will depend heavily on the efforts and activities of our collaborators. Collaborations are subject to numerous risks, which may include risks that: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collaborations;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may not pursue development and commercialization of our product candidates or may elect not to continue or renew development or commercialization programs based on clinical trial results, changes in their strategic focus due to their acquisition of competitive products or their internal development of competitive products, availability of funding or other external factors, such as a business combination that diverts resources or creates competing priorities;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abandon a product candidate, repeat or conduct new clinical trials or require a new formulation of a product candidate for clinical testing;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products or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with marketing, manufacturing and distribution rights to one or more products may not commit sufficient resources to or otherwise not perform satisfactorily in carrying out these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could grant exclusive rights to our collaborators that would prevent us from collaborating with others;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disputes may arise between us and collaborators that cause the delay or termination of the research, development or commercialization of our current or future product candidates or that result in costly litigation or arbitration that diverts management attention and resources;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collaborations may be terminated, and, if terminated, this may result in a need for additional capital to pursue further development or commercialization of the applicable current or future product candidates;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may own or co-own intellectual property covering products that result from our collaborating with them, and in such cases, we would not have the exclusive right to develop or commercialize such intellectual property;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disputes may arise with respect to the ownership of any intellectual property developed pursuant to our collaborations;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sales and marketing activities or other operations may not be in compliance with applicable laws resulting in civil or criminal proceedings. </w:t>
      </w:r>
    </w:p>
    <w:p>
      <w:pPr>
        <w:pStyle w:val="TextBody"/>
        <w:bidi w:val="0"/>
        <w:spacing w:before="360" w:after="283"/>
        <w:jc w:val="both"/>
        <w:rPr>
          <w:rFonts w:ascii="Times New Roman" w:hAnsi="Times New Roman"/>
          <w:sz w:val="20"/>
        </w:rPr>
      </w:pPr>
      <w:r>
        <w:rPr>
          <w:rFonts w:ascii="Times New Roman" w:hAnsi="Times New Roman"/>
          <w:b/>
          <w:i/>
          <w:color w:val="000000"/>
          <w:sz w:val="20"/>
        </w:rPr>
        <w:t>Unfavorable global and macroeconomic or political conditions could adversely affect our business, financial condition or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is susceptible to general conditions in the global economy and in the global financial markets. Global financial crises and global or regional political disruptions have caused, and could in the future cause, extreme volatility in the capital and credit markets. A severe or prolonged economic downturn, including a recession or depression, recent and potential bank failures, the current inflationary economic environment, rising interest rates, debt and equity market fluctuations, diminished liquidity and credit availability, increased unemployment rates, funding shortages at governmental and regulatory agencies on which we rely, including regulatory agencies, decreased investor and consumer confidence, supply chain challenges, natural catastrophes, the effects of climate change, regional and global conflicts and terrorist attacks or political disruption or turmoil could result in a variety of risks to our business, including weakened demand for our product candidates or any future product candidates, if approved,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potential products. Any of the foregoing could materially and adversely affect our business, financial condition, results of operations and prospects, and we cannot anticipate all of the ways in which the political or economic climate and financial market conditions could adversely impact our business.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International trade policies, including tariffs, sanctions and trade barriers may adversely affect our business, financial condition, results of operations and growth prospects.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operate in a global economy, which includes utilizing third-party suppliers in several countries outside the United States. The current international trade and regulatory environment is subject to significant ongoing uncertainty, and there is inherent risk that political, diplomatic, and national security factors can lead to global trade restrictions and changes in trade policies and export regulations that may adversely affect our business and operations.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suppliers are located outside of the United States, and our product candidates, tanruprubart and vonaprument, are manufactured in Europe. We also rely on specialized laboratory equipment, supplies, materials, and precursor compounds, all or part of which we believe may be ultimately sourced from multiple countries outside the United States, to advance our research and development efforts.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Current or future tariffs may result in increased research and development expenses, including with respect to increased costs associated with raw materials, laboratory equipment and research materials and components. In addition, such tariffs may increase our supply chain complexity, potentially disrupt our existing supply chain, and could result in delays to our development timelines. Unlike consumer goods, pharmaceuticals face unique regulatory constraints that make rapid supply chain adjustments particularly difficult and costly.</w:t>
      </w:r>
    </w:p>
    <w:p>
      <w:pPr>
        <w:pStyle w:val="TextBody"/>
        <w:bidi w:val="0"/>
        <w:jc w:val="both"/>
        <w:rPr>
          <w:rFonts w:ascii="Times New Roman" w:hAnsi="Times New Roman"/>
          <w:color w:val="000000"/>
          <w:sz w:val="20"/>
        </w:rPr>
      </w:pPr>
      <w:r>
        <w:rPr>
          <w:rFonts w:ascii="Times New Roman" w:hAnsi="Times New Roman"/>
          <w:color w:val="000000"/>
          <w:sz w:val="20"/>
        </w:rPr>
        <w:t>The ultimate impact of current or future tariffs and trade restrictions remains uncertain. While we actively monitor these risks, any escalation in trade tensions could materially and adversely affect our business, results of operations, financial condition and prospects. In addition, tariffs and other trade developments have and may continue to heighten the risks related to the other risk factors described elsewhere in this Quarterly Report on Form 10-Q.</w:t>
      </w:r>
    </w:p>
    <w:p>
      <w:pPr>
        <w:pStyle w:val="TextBody"/>
        <w:bidi w:val="0"/>
        <w:spacing w:before="360" w:after="283"/>
        <w:jc w:val="both"/>
        <w:rPr>
          <w:rFonts w:ascii="Times New Roman" w:hAnsi="Times New Roman"/>
          <w:sz w:val="20"/>
        </w:rPr>
      </w:pPr>
      <w:r>
        <w:rPr>
          <w:rFonts w:ascii="Times New Roman" w:hAnsi="Times New Roman"/>
          <w:b/>
          <w:i/>
          <w:color w:val="000000"/>
          <w:sz w:val="20"/>
        </w:rPr>
        <w:t>We or the third parties upon whom we depend on may be adversely affected by earthquakes or other natural disasters,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corporate headquarters and other facilities are located in the San Francisco Bay Area, which has experienced both severe earthquakes and the effects of wildfires. We do not carry earthquake insurance. Earthquakes, wildfires or other natural disasters could severely disrupt our operations, and could materially and adversely affect our business, financial condition, results of operations and prospects.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 natural disaster, power outage or other event occurred that prevented us from using all or a significant portion of our headquarters, that damaged critical infrastructure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Furthermore, integral parties in our supply chain are similarly vulnerable to natural disasters or other sudden, unforeseen and severe adverse events. If such an event were to affect our supply chain, it could have a material adverse effect on our business. </w:t>
      </w:r>
    </w:p>
    <w:p>
      <w:pPr>
        <w:pStyle w:val="TextBody"/>
        <w:bidi w:val="0"/>
        <w:spacing w:before="360" w:after="283"/>
        <w:jc w:val="both"/>
        <w:rPr>
          <w:rFonts w:ascii="Times New Roman" w:hAnsi="Times New Roman"/>
          <w:sz w:val="20"/>
        </w:rPr>
      </w:pPr>
      <w:r>
        <w:rPr>
          <w:rFonts w:ascii="Times New Roman" w:hAnsi="Times New Roman"/>
          <w:b/>
          <w:i/>
          <w:color w:val="000000"/>
          <w:sz w:val="20"/>
        </w:rPr>
        <w:t>Our employees and independent contractors, including principal investigators, consultants, any future commercial collaborators, service providers and other vendors, may engage in misconduct or other improper activities, including noncompliance with regulatory standards and requirements, which could have an adverse effect on our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other sanctions, imprisonment, contractual damages, reputational harm, diminished profits and future earnings and curtailment of our operations, any of which could adversely affect our ability to operate our business and our results of operations. </w:t>
      </w:r>
    </w:p>
    <w:p>
      <w:pPr>
        <w:pStyle w:val="TextBody"/>
        <w:bidi w:val="0"/>
        <w:spacing w:before="360" w:after="283"/>
        <w:jc w:val="both"/>
        <w:rPr>
          <w:rFonts w:ascii="Times New Roman" w:hAnsi="Times New Roman"/>
          <w:sz w:val="20"/>
        </w:rPr>
      </w:pPr>
      <w:r>
        <w:rPr>
          <w:rFonts w:ascii="Times New Roman" w:hAnsi="Times New Roman"/>
          <w:b/>
          <w:i/>
          <w:color w:val="000000"/>
          <w:sz w:val="20"/>
        </w:rPr>
        <w:t>Our business involves the use of hazardous materials, and we and our third-party manufacturers and suppliers must comply with environmental laws and regulations, which can be expensive and restrict how we do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research and development activities and our third-party manufacturers’ and suppliers’ activities involve the controlled storage, use and disposal of hazardous materials owned by us, including the components of our product candidates and other hazardous compounds. We and any third-party manufacturers and suppliers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In some cases, these hazardous materials and various wastes resulting from their use are stored at our and our manufacturers’ facilities pending their use and disposal. We generally contract with third parties for the disposal of these materials and wastes. We cannot eliminate the risk of contamination, which could cause an interruption of our commercialization efforts, research and development efforts and business operations, and environmental damage resulting in costly clean-up and liabilities under applicable laws and regulations governing the use, storage, handling and disposal of these materials and specified waste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cannot guarantee that the safety procedures utilized by our third-party manufacturers for handling and disposing of these materials comply with the standards prescribed by these laws and regulations, nor can we eliminate the risk of accidental contamination or injury from these materials. Under certain environmental laws, we could be held responsible for costs relating to any contamination at our current or past facilities and at third-party facilities.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Compliance with applicable environmental laws and regulations may be expensive, and current or future environmental laws and regulations may impair our research, product development and manufacturing efforts. In addition, we cannot entirely eliminate the risk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of accidental injury or contamination from hazardous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results of operations and financial condition. </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Our current and any future product candidates or products could be alleged to infringe patent rights and other proprietary rights of third parties, which may require costly litigation and, if we are not successful, could cause us to pay substantial damages and/or limit our ability to commercialize our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commercial success depends on our ability to develop, manufacture and market our current and any future product candidates that may be approved for sale, and to use our proprietary technology without infringing the patents and other proprietary rights of third parties. Intellectual property disputes can be costly to defend and may cause our business, results of operations and financial condition to suffer. We operate in an industry with extensive intellectual property litigation. As the pharmaceutical, biopharmaceutical and biotechnology industries expand and more patents are issued, the risk increases that there may be patents issued to third parties that relate to our products and technology of which we are not aware or that we may need to challenge to continue our operations as currently contemplated.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Whether merited or not, we may face allegations that we have infringed the trademarks, copyrights, patents and other intellectual property rights of third parties, including patents held by our competitors or by non-practicing entities. We may also face allegations that our employees have misappropriated the intellectual property rights of their former employers or other third parties. Litigation may make it necessary to defend ourselves by determining the scope, enforceability and validity of third-party proprietary rights, or to establish our proprietary rights. Regardless of whether claims that we are infringing patents or other intellectual property rights have merit, such litigation can be time consuming, divert management attention and financial resources and are costly to evaluate and defend. There can be no assurance with respect to the outcome of any current or future litigation brought by or against us, and the outcome of any such litigation could have a material adverse impact on our business, results of operations and financial condition. Litigation is inherently unpredictable, and outcomes are uncertain. Further, as the costs and outcome of such litigation can vary significantly, it is difficult to estimate potential losses that may occur. As a result of such litigation, we may be required to stop treating certain conditions, obtain licenses or modify our products and features while we develop non-infringing substitutes, or may result in significant settlement costs or royalty obligations. For example, litigation can involve substantial damages for infringement, and if the court finds that the infringement was willful, we could be ordered to pay treble damages and the patent owner’s attorneys’ fees. We may also be prohibited from selling or licensing our products unless the third-party licenses rights to us, which it is not required to do at a commercially reasonable price or at all. If a license is available from a third party, we may have to pay substantial royalties or upfront fees or grant cross-licenses to intellectual property rights for our products. We may also have to redesign our products so they do not infringe third-party intellectual property rights, which may not be possible or may require substantial monetary expenditures and time, during which our products may not be available for manufacture, use or sale. Accordingly, we are unable at this time to estimate the effects of these potential future lawsuits on our financial condition, operations or 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some of our competitors may be able to sustain the costs of complex patent litigation more effectively than we can.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Any uncertainties resulting from the initiation and continuation of any litigation could have a material adverse effect on our ability to raise the funds necessary to continue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we have reviewed certain third-party patents and patent filings that we believe may be relevant to our product candidates, we have not conducted a comprehensive freedom-to-operate search or analysis for any of our product candidates, and we may not be aware of patents or pending or future patent applications that, if issued, would block us from commercializing our product candidates. Additionally,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commercialize our product candidates. Thus, we cannot guarantee that our activities related to their product candidates, or our commercialization, do not and will not infringe any third party’s intellectual property.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patent applications in the United States and many other jurisdictions are typically not published until 18 months after the filing of certain priority documents (or, in some cases, are not published until they issue as patents), and publications in the scientific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literature often lag behind actual discoveries. Therefore, we cannot be certain that others have not filed patent applications or made public disclosures relating to our technology or our contemplated technology. A third party may have already filed, and may in the future file, patent applications covering our product candidates or technology similar to ours. Any such patent application may have priority over our patent applications or patents, which could further require us to obtain rights to issued patents covering such technologies. If another party has filed a U.S. patent application on inventions similar to ours, depending on whether the timing of the filing date falls under certain patent laws, we may have to participate in a priority contest (such as an interference proceeding) declared by the United States Patent and Trademark Office, or the USPTO, to determine priority of invention in the United States. The costs of patent litigation and other proceedings related to the protection of our global patent position could be substantial, and it is possible that such efforts would be unsuccessful, resulting in a loss of our patent position with respect to such invention. </w:t>
      </w:r>
    </w:p>
    <w:p>
      <w:pPr>
        <w:pStyle w:val="TextBody"/>
        <w:bidi w:val="0"/>
        <w:spacing w:before="360" w:after="283"/>
        <w:jc w:val="both"/>
        <w:rPr>
          <w:rFonts w:ascii="Times New Roman" w:hAnsi="Times New Roman"/>
          <w:sz w:val="20"/>
        </w:rPr>
      </w:pPr>
      <w:r>
        <w:rPr>
          <w:rFonts w:ascii="Times New Roman" w:hAnsi="Times New Roman"/>
          <w:b/>
          <w:i/>
          <w:color w:val="000000"/>
          <w:sz w:val="20"/>
        </w:rPr>
        <w:t>If we are unable to obtain, maintain and enforce intellectual property protection directed to our current and any future technologies that we develop, others may be able to make, use or sell products substantially the same as ours, which could adversely affect our ability to compete in the market.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for pharmaceuticals and biopharmaceuticals is highly competitive and subject to rapid technological change. Our success depends, in part, upon our ability to maintain a competitive position in the development and protection of technologies and any future products for use in these fields and upon our ability to obtain, maintain and enforce our intellectual property rights. We seek to obtain and maintain patents and other intellectual property rights to restrict the ability of others to market products that misappropriate our technology and/or infringe our intellectual property to unfairly and illegally compete with any future products. If we are unable to protect our intellectual property and proprietary rights, our competitive position and our business could be harmed, as third parties may be able to make, use or sell products that are substantially the same as any future products we may sell without incurring the sizeable development and licensing costs that we have incurred, which would adversely affect our ability to compete in the market.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use a combination of patents, trademarks, know-how, confidentiality procedures and contractual provisions to protect our proprietary technology. However, these protections may not be adequate and may not provide us with any competitive advantage. For example, patents may not issue from any of our currently pending or any future patent applications, and our issued patents and any future patents that may issue may not survive legal challenges to their scope, validity or enforceability, or provide significant protection for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not pursued or maintained, and may not pursue or maintain in the future, patent protection for our product candidates in every country or territory in which we may sell our products. In addition, we cannot be sure that any of our pending patent applications or pending trademark applications will issue or that, if issued, they will issue in a form that will provide adequate protection for our products. The USPTO, patent offices in other jurisdictions, or judicial or other bodies in any jurisdiction may deny or significantly narrow claims made under our patent applications, and claims in our issued patents may be invalidated, may be designed around or may otherwise be unable to provide us with protection for our products. Further, the USPTO, trademark offices in other jurisdictions, or judicial or other bodies in any jurisdiction may deny our trademark applications and, even if published or registered, these trademarks may not effectively protect our brand and goodwill. Like patents, trademarks also may be successfully opposed or challenged.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cannot be certain that the steps we have taken will prevent unauthorized use or unauthorized reverse engineering of our technology that is material to our business. Moreover, third parties may independently develop technologies that are competitive with ours and such competitive technologies may or may not infringe our intellectual property. The enforcement of our intellectual property rights also depends on the success of any legal actions we may take against these third parties in the respective country or forum, but these actions may not be successful. As with all granted intellectual property, such intellectual property may be challenged, invalidated or circumvented, may not provide protection and/or may not prove to be enforceable in actions against specific alleged infringers.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or any future collaborators we may have were to initiate legal proceedings against a third party to enforce a patent covering one of our product candidates or future product candidates,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obviousness or lack of novelty, enablement or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even outside the context of litigation. The outcome following legal assertions of invalidity and unenforceability is unpredictable. With respect to validity, for example, we cannot be certain that there is no invalidating prior art of which we and the patent examiner were unaware during prosecution, or that a defendant would not prevail on an assertion of invalidity based on prior art that we were aware of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claims in our patents survive assertions of invalidity and unenforceability, they may not be broad enough to prevent others from marketing products similar to ours or designing around our patents. For example, third parties may be able to make products that are similar to ours but that are not covered by the claims of our patents. The claims of our issued patents or patent applications when issued may not cover our product candidates or any future products that we develop.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Patent law can be highly uncertain and involve complex legal and factual questions for which important principles remain unresolved. In the United States and in many other jurisdictions, policies regarding the breadth of claims allowed in patents can be inconsistent. The U.S. Supreme Court and the Court of Appeals for the Federal Circuit have made, and will likely continue to make, changes in how the patent laws of the United States are interpreted. Similarly, courts in other jurisdictions have made, and will likely continue to make, changes in how the patent laws in their respective jurisdictions are interpreted. We cannot predict future changes in the interpretation of patent laws or changes to patent laws that might be enacted into law by U.S. and international legislative bodies. Those changes may materially affect the patents and patent applications of our licensors, our existing or future patents and patent applications and our ability to obtain additional patents in the future.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Patent reform legislation in the United States could increase the uncertainties and costs surrounding the prosecution of our patent applications and the enforcement or defense of our issued patents. For example, on September 16, 2011, the Leahy-Smith America Invents Act, or Leahy-Smith Act, was signed into law. The Leahy-Smith Act included a number of significant changes to U.S. patent law. These include provisions that affect the way patent applications are prosecuted, redefine prior art, may affect patent litigation and switch the U.S.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made the invention earlier. The USPTO has developed regulations and procedures to govern administration of the Leahy-Smith Act, and many of the substantive changes to patent law associated with the Leahy-Smith Act, and in particular, the first-to-file provisions, only became effective on March 16, 2013. The Leahy-Smith Act and its implementation could increase the uncertainties and costs surrounding the prosecution of our patent applications and the enforcement or defense of our issued patents, which could have a material adverse effect on our business and financial condition. Any future changes in the patent laws of the United States, or even the possibility of such changes, may further increase these uncertainties and costs.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USPTO and various patent agencies in other jurisdictions require compliance with a number of procedural, documentary, fee, annuity payment and other provisions to maintain patent applications and issued patents. Although an inadvertent lapse, can in many cases be cured by payment of a late fee or by other means in accordance with the applicable rules, there are situations in which noncompliance with these requirements can result in abandonment or lapse of a patent or patent application, resulting in partial or complete loss of patent rights in the relevant jurisdiction.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have a number of patents and patent applications outside of the United States and expect to continue to pursue patent protection in many of the significant markets in which we intend to do business. The laws of some international jurisdictions do not protect intellectual property rights to the same extent as laws in the United States, and many companies have encountered significant difficulties in obtaining, protecting and defending such rights in certain jurisdictions outside of the United States. If we encounter such difficulties or we are otherwise precluded from effectively protecting our intellectual property rights in international jurisdictions, our business, financial condition, results of operations and prospects could be materially and adversely affected. Earlier patent filings in certain international countries may also permit third parties to allege priority to certain technology in those countries.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Patent terms may be shortened or lengthened in certain jurisdictions by, for example, terminal disclaimers, patent term adjustments, supplemental protection certificates and patent term extensions. PTEs and supplemental protection certificates, and the like, may be impacted by the regulatory process and may not significantly lengthen patent term. Non-payment or delay in payment of patent extension filing (including any patent term extension or adjustment filing) fees, whether intentional or unintentional, may also result in the loss of patent rights important to our business. Certain countries have compulsory licensing laws under which a patent owner may be compelled to grant licenses to other parties. In addition, many countries limit the enforceability of patents against other parties, including government agencies or government contractors. In these countries, the patent owner may have limited remedies, which could materially diminish the value of any patents.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Monitoring unauthorized use of our intellectual property is difficult and costly. From time to time, we review our competitors’ products, and may in the future seek to enforce our patents or other rights against potential infringement. However, the steps we have taken to protect our proprietary rights may not be adequate to prevent misappropriation of our intellectual property. We may not be able to detect unauthorized use of, or take appropriate steps to enforce, our intellectual property rights. Our competitors may also independently develop similar technology. Any inability to meaningfully protect our intellectual property could result in competitors offering products competitive to our products. In addition, we may need to defend our patents from third-party challenges, such as interferences, derivation proceedings, re-examination proceedings, post-grant review, inter partes review, third-party submissions, oppositions, nullity actions or other patent proceedings. We may need to initiate infringement claims or litigation.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Adverse proceedings such as litigation can be expensive, time consuming and may divert the efforts of our technical and managerial personnel, which could in turn materially and adversely affect our business, financial condition, results of operations and prospects, whether or not we receive a determination favorable to us. In addition, in an infringement proceeding, a court or other judicial body may decide that the patent we seek to enforce is invalid or unenforceable, or may refuse to stop the other party from using the technology at issue on the grounds that the patent in question does not cover the technology in question or that stopping the other party would harm the public interest. An adverse result in any litigation could put one or more of our patents at risk of being invalidated or interpreted narrowly. Some of our competitors may be able to devote significantly more resources to intellectual property litigation, and may have significantly broader patent portfolios to assert against us if we assert our rights against them. Further, because of the substantial discovery required in connection with intellectual property litigation, there is a risk that some of our confidential information could be disclosed or otherwise compromised during litigation.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be able to correctly estimate or control our future operating expenses in relation to obtaining intellectual property, enforcing intellectual property and/or defending intellectual property, which could affect operating expenses. Our operating expenses may fluctuate significantly in the future as a result of a variety of factors, including the costs of preparing, filing, prosecuting, defending and enforcing patent and trademark claims and other intellectual property-related costs, including adverse proceedings and litigation costs.</w:t>
      </w:r>
    </w:p>
    <w:p>
      <w:pPr>
        <w:pStyle w:val="TextBody"/>
        <w:bidi w:val="0"/>
        <w:spacing w:before="360" w:after="283"/>
        <w:jc w:val="both"/>
        <w:rPr>
          <w:rFonts w:ascii="Times New Roman" w:hAnsi="Times New Roman"/>
          <w:sz w:val="20"/>
        </w:rPr>
      </w:pPr>
      <w:r>
        <w:rPr>
          <w:rFonts w:ascii="Times New Roman" w:hAnsi="Times New Roman"/>
          <w:b/>
          <w:i/>
          <w:color w:val="000000"/>
          <w:sz w:val="20"/>
        </w:rPr>
        <w:t>If we are</w:t>
      </w:r>
      <w:r>
        <w:rPr>
          <w:rFonts w:ascii="Times New Roman" w:hAnsi="Times New Roman"/>
          <w:color w:val="000000"/>
          <w:sz w:val="20"/>
        </w:rPr>
        <w:t xml:space="preserve"> </w:t>
      </w:r>
      <w:r>
        <w:rPr>
          <w:rFonts w:ascii="Times New Roman" w:hAnsi="Times New Roman"/>
          <w:b/>
          <w:i/>
          <w:color w:val="000000"/>
          <w:sz w:val="20"/>
        </w:rPr>
        <w:t>unable to prevent disclosure of our trade secrets or other confidential information to third parties, our competitive position may be impaired.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the protection afforded by patents, we rely on confidentiality agreements to protect confidential information and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confidential information or proprietary technology and processes. We also seek to preserve the integrity and confidentiality of our data and other confidential information by maintaining physical security of our premises and physical and electronic security of our information technology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Costly and time-consuming litigation could be necessary to enforce and determine the scope of our proprietary rights, and failure to obtain or maintain trade secret protection could adversely affect our competitive business position. Furthermore, the laws of some other jurisdictions do not protect proprietary rights to the same extent or in the same manner as the laws of the United States. As a result, we may encounter significant problems in protecting and defending our intellectual property both in the United States and in other jurisdictions. In addition, our confidential information may otherwise become known or be independently discovered by competitors, in which case we would have no right to prevent them, or those to whom they communicate it, from using that technology or information to compete with us. The failure to obtain or maintain trade secret protection could adversely affect our competitive business position.</w:t>
      </w:r>
    </w:p>
    <w:p>
      <w:pPr>
        <w:pStyle w:val="TextBody"/>
        <w:bidi w:val="0"/>
        <w:spacing w:before="360" w:after="283"/>
        <w:jc w:val="both"/>
        <w:rPr>
          <w:rFonts w:ascii="Times New Roman" w:hAnsi="Times New Roman"/>
          <w:sz w:val="20"/>
        </w:rPr>
      </w:pPr>
      <w:r>
        <w:rPr>
          <w:rFonts w:ascii="Times New Roman" w:hAnsi="Times New Roman"/>
          <w:b/>
          <w:i/>
          <w:color w:val="000000"/>
          <w:sz w:val="20"/>
        </w:rPr>
        <w:t>We license patent rights from third-party owners. Such licenses may be subject to early termination if we fail to comply with our obligations in our licenses with third parties, which could result in the loss of rights or technology that are material to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or may become a party to licenses that give us rights to third-party intellectual property that are necessary or useful for our business, and we may enter into additional licenses in the future. Under these license agreements, we are or may become obligated to pay the licensor fees, which may include annual license fees, milestone payments, royalties, a percentage of revenues associated with the licensed technology and a percentage of sublicensing revenue. These fees may be significant, which could make it difficult for us to achieve or maintain profitability. In addition, under certain of such agreements, we are or may become required to diligently pursue the development of products using the licensed technology. If we fail to comply with these obligations and fail to cure our breach within a specified period of time, the licensor may have the right to terminate the applicable license, in which event we could lose valuable rights and technology that are material to our business, harming our ability to develop, manufacture and/or commercialize our platform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candidates. If the licensor retains control of prosecution of the patents and patent applications licensed to us, we may have limited or no control over the manner in which the licensor chooses to prosecute or maintain its patents and patent applications and have limited or no right to continue to prosecute any patents or patent applications that the licensor elects to abandon.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pStyle w:val="TextBody"/>
        <w:bidi w:val="0"/>
        <w:spacing w:before="360" w:after="283"/>
        <w:jc w:val="both"/>
        <w:rPr>
          <w:rFonts w:ascii="Times New Roman" w:hAnsi="Times New Roman"/>
          <w:sz w:val="20"/>
        </w:rPr>
      </w:pPr>
      <w:r>
        <w:rPr>
          <w:rFonts w:ascii="Times New Roman" w:hAnsi="Times New Roman"/>
          <w:b/>
          <w:i/>
          <w:color w:val="000000"/>
          <w:sz w:val="20"/>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any of which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wish to form collaborations in the future with respect to our product candidates, but may not be able to do so or to realize the potential benefits of such transactions, which may cause us to alter or delay our development and commercialization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 candidates may also require specific components to work effectively and efficiently, and rights to those components may be held by others. Any delays in entering into new collaborations or strategic partnership agreements related to our product candidates could delay the development and commercialization of our product candidates in certain geographies, which could harm our business prospects, financial condition and results of operations.</w:t>
      </w:r>
    </w:p>
    <w:p>
      <w:pPr>
        <w:pStyle w:val="TextBody"/>
        <w:bidi w:val="0"/>
        <w:spacing w:before="360" w:after="283"/>
        <w:jc w:val="both"/>
        <w:rPr>
          <w:rFonts w:ascii="Times New Roman" w:hAnsi="Times New Roman"/>
          <w:sz w:val="20"/>
        </w:rPr>
      </w:pPr>
      <w:r>
        <w:rPr>
          <w:rFonts w:ascii="Times New Roman" w:hAnsi="Times New Roman"/>
          <w:b/>
          <w:i/>
          <w:color w:val="000000"/>
          <w:sz w:val="20"/>
        </w:rPr>
        <w:t>We jointly own certain patent rights with third parties. Our ability to out-license these patent rights, or to prevent the third party from out-licensing these patent rights, may be limited in certain countries.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jointly own certain patents and patent applications with third parties, and may jointly own patents and patent applications with third parties in the future. Unless we enter into an agreement with the joint owner, we will be subject to certain default rules pertaining to joint ownership. Certain countries require the consent of all joint owners to license jointly owned patents, and if we are unable to obtain such consent from the joint owner, we may not be able to license our rights under these patents and patent applications. In certain other countries, including the United States, the joint owner could license its rights under these patents and patent applications to another party without our consent and without any duty of accounting to us.</w:t>
      </w:r>
    </w:p>
    <w:p>
      <w:pPr>
        <w:pStyle w:val="TextBody"/>
        <w:bidi w:val="0"/>
        <w:spacing w:before="360" w:after="283"/>
        <w:jc w:val="both"/>
        <w:rPr>
          <w:rFonts w:ascii="Times New Roman" w:hAnsi="Times New Roman"/>
          <w:sz w:val="20"/>
        </w:rPr>
      </w:pPr>
      <w:r>
        <w:rPr>
          <w:rFonts w:ascii="Times New Roman" w:hAnsi="Times New Roman"/>
          <w:b/>
          <w:i/>
          <w:color w:val="000000"/>
          <w:sz w:val="20"/>
        </w:rPr>
        <w:t>We may be subject to claims challenging the inventorship or ownership of our patents and other 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also be subject to claims that former employees, any future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and could even face litigation for infringing patents that we had regarded as ours. Such an outcome could have a material adverse effect on our business. Even if we are successful in defending against such claims, litigation could result in substantial costs and distraction to management and other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or our licensors may have relied on third-party consultants or collaborators or on funds from third parties, such as national governments, such that we or our licensors are not the sole and exclusive owners of the patents we in-licensed. If other third parties have ownership rights or other rights to our patents, including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registered or unregistered trademarks or trade names may be challenged, infringed, circumvented, declared generic or conflict with third-party rights. We may not be able to protect our rights to these trademarks and trade names, which we need to build name recognition with potential partners, physicians or patients in our markets of interest. During trademark registration proceedings, our trademark applications may be rejected. Although we are given an opportunity to respond to those rejections, we may be unable to overcome such rejections. In addition, in the USPTO and in comparable agencies in many foreign jurisdictions, third parties can oppose pending trademark applications and seek to cancel registered trademarks. Opposition or cancellation proceedings may be filed against our trademarks, and our trademarks may not survive such proceedings. Furthermore, third parties may file first for our trademarks in certain countries. If they succeeded in registering such trademarks, and if we are not successful in challenging such third-party rights, we may not be able to use these trademarks to market our future products in those countries.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In such cases, over the long term, if we are unable to establish and maintain name recognition based on our trademarks and trade names, then our commercial success abilities may be impacted.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any name we propose to use with our product candidates in the United States or any other country must be approved by the FDA, EMA or any other relevant health authority regardless of whether we have registered it, or applied to register it, as a trademark. The FDA as well as EMA typically conducts a review of proposed product names, including an evaluation of potential for confusion with other product names. If the FDA, EMA or any other relevant approval authority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EMA or any other relevant approval authority.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Filing and prosecuting patent applications, and defending patents, related to our product candidates in all countries throughout the world would be prohibitively expensive, and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export otherwise infringing products to territories where we have patent protection but enforcement is not as strong as that in the United States. These products may compete with any future products we may sell, and our patents or other intellectual property rights may not be effective or sufficient to prevent them from competing.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pharmaceuticals and biopharmaceuticals,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Even if we obtain regulatory approval for a product candidate, our products will remain subject to regulatory scrutiny.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Manufacturers and manufacturers’ facilities are required to comply with extensive FDA and comparable foreign regulatory authority requirements, including ensuring that quality control and manufacturing procedures conform to cGMPs. As such, we and our contract manufacturers will be subject to continual review and inspections to assess compliance with cGMPs and adherence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commitments made in any approved marketing application. Accordingly, we and others with whom we work must continue to expend time, money and effort in all areas of regulatory compliance, including manufacturing, production and quality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have to comply with requirements concerning advertising and promotion for any future products. Promotional communications with respect to prescription drugs and biologics are subject to a variety of legal and regulatory restrictions and must be consistent with the information in the product’s approved label. We may not promote products for indications or uses for which they do not have approval. The holder of an approved application must submit new or supplemental applications and obtain approval for certain changes to the approved product, product labeling or manufacturing process. We could also be asked to conduct post-marketing clinical trials to verify the safety, purity, potency and/or efficacy of our products in general or in specific patient subsets. An unsuccessful post-marketing study or failure to complete such a study could result in the withdrawal of marketing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issue warning letters;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impose civil or criminal penalties;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suspend or withdraw regulatory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suspend any of our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refuse to approve pending applications or supplements to approved applications submitted by us;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impose restrictions on our operations, including closing our contract manufacturers’ facilities;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seize or detain products, or require a product recall.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any future products. If regulatory sanctions are applied or if regulatory approval is withdrawn, the value of our company and our results of operations will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360" w:after="283"/>
        <w:jc w:val="both"/>
        <w:rPr>
          <w:rFonts w:ascii="Times New Roman" w:hAnsi="Times New Roman"/>
          <w:sz w:val="20"/>
        </w:rPr>
      </w:pPr>
      <w:r>
        <w:rPr>
          <w:rFonts w:ascii="Times New Roman" w:hAnsi="Times New Roman"/>
          <w:b/>
          <w:i/>
          <w:color w:val="000000"/>
          <w:sz w:val="20"/>
        </w:rPr>
        <w:t>Enacted and future healthcare legislation may increase the difficulty and cost for us to obtain marketing approval of and commercialize our product candidates and may affect the prices we may set.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United States, the EU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changed the way healthcare is financed by both governmental and private insurers.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Since its enactment, there have been amendments and judicial, Congressional and executive branch challenges to certain aspects of the ACA. For example, on July 4, 2025, the One Big Beautiful Bill Act, or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t>
      </w:r>
      <w:r>
        <w:rPr>
          <w:rFonts w:ascii="Times New Roman" w:hAnsi="Times New Roman"/>
          <w:color w:val="231F20"/>
          <w:sz w:val="20"/>
        </w:rPr>
        <w:t>It is unclear how these and other healthcare reform measures will impact our business.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current administration is pursuing policies to reduce regulations and expenditures across government including at HHS, the FDA, the Centers for Medicare &amp; Medicaid Services,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 to offer, through a direct-to-consumer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directives to reduce agency workforce and cut programs; (2) rescinding a Biden administration executive order tasking the Center for Medicare and Medicaid Innovation, or CMMI, to consider new payment and healthcare models to limit drug spending; (3) imposing tariffs on certain imported pharmaceutical products; and (4) as part of the Make America Healthy Again Commission’s recent Strategy Report,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June 15, 2026, the FDA approved Colorado’s Section 804 Importation Program, or SIP, proposal to import certain drugs from Canada for specific state healthcare programs. It is unclear how this and Florida’s similar program, approved by the FDA in 2024, will be implemented and whether they will overcome potential legal, regulatory, or industry challenges in the United States and/or Canada. Legally mandated price controls on payment amounts by third-party payors or other restrictions could materially and adversely affect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or judicial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If we develop a small molecule product candidate that obtains regulatory approval, additional competitors could enter the market with generic versions of such drugs, which may result in a material decline in sales of affected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Drug Price Competition and Patent Term Restoration Act of 1984, or the Hatch-Waxman Act, a pharmaceutical manufacturer may submit an abbreviated new drug application, or ANDA, seeking approval of a generic version of an approved, small molecule innovator product. Under the Hatch-Waxman Act, a manufacturer may also submit an NDA under section 505(b)(2) of the Federal Food, Drug, and Cosmetic Act that references the FDA’s prior findings of safety and effectiveness of the small molecule innovator product. For example, a 505(b)(2) NDA product may be for a new or improved version of the original innovator product. The Hatch-Waxman Act also provides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a product, a generic or 505(b)(2) applicant that seeks to market its product before expiration of the patents must include in their applications what is known as a “Paragraph IV” certification, challenging the validity or enforceability of,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Accordingly, if our small molecule program results in a product that is approved, competitors could submit ANDAs for generic versions of our small molecule drug products or 505(b)(2) NDAs that reference our small molecule drug products. If there are patents listed for our small molecule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be successful in securing or maintaining proprietary patent protection for products and technologies we develop or license. Moreover, if any of our owned or in-licensed patents that are listed in the Orange Book are successfully challenged by way of a Paragraph IV certification and subsequent litigation, the affected product could immediately face generic competition and its sales would likely decline rapidly and materially.</w:t>
      </w:r>
    </w:p>
    <w:p>
      <w:pPr>
        <w:pStyle w:val="TextBody"/>
        <w:bidi w:val="0"/>
        <w:spacing w:before="360" w:after="283"/>
        <w:jc w:val="both"/>
        <w:rPr>
          <w:rFonts w:ascii="Times New Roman" w:hAnsi="Times New Roman"/>
          <w:sz w:val="20"/>
        </w:rPr>
      </w:pPr>
      <w:r>
        <w:rPr>
          <w:rFonts w:ascii="Times New Roman" w:hAnsi="Times New Roman"/>
          <w:b/>
          <w:i/>
          <w:color w:val="000000"/>
          <w:sz w:val="20"/>
        </w:rPr>
        <w:t>Our business operations and current and future relationships with investigators, healthcare professionals, consultants, third-party payors, patient organizations and customers will be subject to applicable healthcare regulatory laws, which could expose us to penalties.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 without limitation: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U.S. federal civil and criminal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U.S. federal false claims laws, including the False Claims Act, which can be enforced through whistleblower actions, and civil monetary penalties laws, which, among other things, impose criminal and civil penalties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Health Insurance Portability and Accountability Act of 1996,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Times New Roman" w:hAnsi="Times New Roman"/>
          <w:color w:val="000000"/>
          <w:sz w:val="20"/>
        </w:rPr>
        <w:t>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federal consumer protection and unfair competition laws, which broadly regulate marketplace activities and activities that potentially harm consumers;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U.S. Physician Payments Sunshine Act and its implementing regulations, which require certain manufacturers of drugs, devices, biologics and medical supplies that are reimbursable under Medicare, Medicaid or the Children’s Health Insurance Program to report annually to the government information related to certain payments and other transfers of value to physicians, as defined by such law, certain non-physician providers such as physician assistants and nurse practitioners, and teaching hospitals, as well as ownership and investment interests held by the physicians described above and their immediate family members;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and local laws that require licenses to manufacture or distribute our products commercially and/or the registration of pharmaceutical sales representatives in the jurisdiction;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and state laws and regulations that require drug manufacturers to file reports relating to pricing and marketing information, which requires tracking gifts and other remuneration and items of value provided to healthcare professionals and entities;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Ensuring that our internal operations and future business arrangements with third parties comply with applicable healthcare laws and regulations will involve substantial costs. It is possible that governmental authorities will conclude that our business practices such as the provision of stock options to physicians who may influence the ordering, prescribing or use of our product candidates, if approved, as compensation for consulting services,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disgorgement, imprisonment, contractual damages, reputational harm, diminished profits and the curtailment or restructuring of our operations. Further, defending against any such actions can be costly and time-consuming and may require significant personnel resources. Even if we are successful in defending against any such actions that may be brought against us, our business may be impaired.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stock price has been volatile, and could in the future be volatile, and you may not be able to resell shares of our common stock at or above the price you paid.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stock price of our common stock has been, and could in the future be, subject to substantial volatility and wide fluctuations in response to various factors, some of which are beyond our control. In particular, the stock prices for pharmaceutical, biopharmaceutical and biotechnology companies have been highly volatile as a result of extreme volatility and disruptions in the global economy, including rising inflation and interest rates, tariffs, declines in economic growth, international conflicts and uncertainty about economic stability, including a potential recession. These factors include those discussed in this “Risk Factors” section and others such as: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results from, and delays in, our clinical trials for our product candidates or any other future clinical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of regulatory approval or disapproval of our current or any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or discontinuation of any of our research and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termination of any of our existing license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relating to any future licensing, collaboration or development agreements;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the commercialization of our current or any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public misperception regarding the use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acquisitions and sales of new products or product candidates, technologies or businesses;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and supply issues related to our product candidates for clinical trials or future product candidates for commercialization;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quarterly variations in our results of operations or those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earnings estimates or recommendations by securities analysts;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by us or our competitors of new products or product candidates, significant contracts, commercial relationships, acquisitions or capital commitments;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with respect to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commencement of, or involvement in,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financial estimates or guidance;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major changes in our board of directors or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new legislation or regulation in the United States relating to the sale or pricing of pharmaceuticals;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FDA or other U.S. or foreign regulatory actions affecting us or our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liability claims or other litigation or public concern about the safety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 conditions in the pharmaceutical, biopharmaceutical and biotechnology sectors;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conditions in the United States and abroad, the current inflationary economic environment, rising interest rates and global health concerns;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our common stock, including sales by our officers, directors and specific existing stockholders;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issuance of shares of our common stock pursuant to the exercise of outstanding warrants.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stock price or liquidity of our common stock.</w:t>
      </w:r>
    </w:p>
    <w:p>
      <w:pPr>
        <w:pStyle w:val="TextBody"/>
        <w:bidi w:val="0"/>
        <w:spacing w:before="360" w:after="283"/>
        <w:jc w:val="both"/>
        <w:rPr>
          <w:rFonts w:ascii="Times New Roman" w:hAnsi="Times New Roman"/>
          <w:sz w:val="20"/>
        </w:rPr>
      </w:pPr>
      <w:r>
        <w:rPr>
          <w:rFonts w:ascii="Times New Roman" w:hAnsi="Times New Roman"/>
          <w:b/>
          <w:i/>
          <w:color w:val="000000"/>
          <w:sz w:val="20"/>
        </w:rPr>
        <w:t>We will cease to be eligible to use the requirements for smaller reporting companies beginning with the Quarterly Report on Form 10-Q for the fiscal quarter ending March 31, 2027. Since we will no longer be a smaller reporting company and no longer qualify for applicable exemptions, we will be subject to additional laws and regulations affecting public companies that may increase our costs and the demands on management and could harm our operating results.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As a “smaller reporting company”, we take advantage of certain exemptions from disclosure requirements including not being required to comply with the auditor attestation requirements of Section 404 of the Sarbanes-Oxley Act and reduced disclosure obligations regarding executive compensation in our periodic reports and proxy statements. Once we are no longer a smaller reporting company or otherwise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identify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 Because the aggregate market value of our common stock held by non-affiliates exceeded $700 million as of June 30, 2026, we will be ineligible to use the requirements for smaller reporting companies beginning with our Quarterly report on Form 10-Q for the quarter ending March 31, 2027, but will remain a non-accelerated filer through 2027. When we are no longer a “non-accelerated filer”, we will have to provide more expansive disclosure regarding executive compensation in our periodic reports and be subject to shorter filing deadlines, which will require additional time and expense. We will also be required to comply with the auditor attestation requirements of Section 404 of the Sarbanes-Oxley Act.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incur significant costs as a result of operating as a public company, and our management needs to devote substantial time to compliance initiatives. We may fail to comply with the rules that apply to public companies, which could result in sanctions or other penalties that could materially and adversely affect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incur significant legal, accounting and other expenses as a public company, including costs resulting from public company reporting obligations under the Exchange Act and regulations regarding corporate governance practices. The listing requirements of the Nasdaq Stock Market and the rules of the SEC require that we satisfy certain corporate governance requirements relating to director independence, filing annual and interim reports, stockholder meetings, approvals and voting, soliciting proxies, conflicts of interest and a code of conduct. Our management and other personnel needs to devote a substantial amount of time to ensure that we comply with all of these requirements. Moreover, these reporting requirements, rules and regulations increase our legal and financial compliance costs and make some activities more time-consuming and costly.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Section 404 of the Sarbanes-Oxley Act, or Section 404, and the related rules of the SEC, which generally require our management and independent registered public accounting firm to report on the effectiveness of our internal control over financial reporting. Pursuant to Section 404(a), we are required to file with the SEC an annual management assessment of the effectiveness of our internal control over financial reporting. Because we re-qualified as a smaller reporting company and we have less than $100 million in annual revenue, as of December 31, 2025, we are a non-accelerated filer and are not required to comply with the auditor attestation requirements regarding the effectiveness of our internal control over financial reporting under Section 404(b) of the Sarbanes-Oxley Act until we become an accelerated filer or large accelerated filer.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management’s assessment needs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faulty human judgment and simple errors, omissions or mistakes;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fraudulent action of an individual or collusion of two or more people;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inappropriate management override of procedures;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possibility that any enhancements to controls and procedures may still not be adequate to assure timely and accurate financial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believe our internal control over financial reporting is currently effective, the effectiveness of our internal controls in future periods is subject to the risk that our controls may become inadequate because of changes in conditions. Establishing, testing and maintaining an effective system of internal control over financial reporting requires significant resources and time commitments on the part of our management and our finance staff, may require additional staffing and infrastructure investments and would increase our costs of doing business. We can give no assurance that material weaknesses in our internal control over financial reporting will not be identified in the future. Our failure to implement and maintain effective internal control over financial reporting could result in errors in our financial statements that could result in a restatement of our financial statements and cause us to fail to meet our reporting obligations. Effective internal control over financial reporting is necessary for us to provide reliable and timely financial reports and, together with adequate disclosure controls and procedures, are designed to reasonably detect and prevent fraud. Any failure to implement required new or improved controls, or difficulties encountered in their implementation, could cause us to fail to meet our reporting obligations.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 Any failure to report our financial results on an accurate and timely basis could result in sanctions, lawsuits, delisting of our shares from the Nasdaq Global Select Market or other adverse consequences that would materially and adversely affect our business, financial condition,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our executive officers, directors, holders of 5% or more of our capital stock and their respective affiliates beneficially owned 47% of our outstanding voting stock. In addition, in our 2023, 2024, and 2025, financings, certain of the holders of 5% or more of our capital stock acquired pre-funded warrants to purchase shares of our common stock (which are immediately exercisable and have an exercise price of $0.001 per share) or common warrants to purchase shares of our common stock. Until exercised, the shares issuable upon the exercise of the pre-funded warrants and the common warrants are not included in the number of our outstanding shares of common stock. If such holders exercise their warrants, then the shares of our capital stock beneficially owned by our executive officers, directors, holders of 5% or more of our capital stock and their respective affiliates would increase significantly. Therefore, these stockholders will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current shares outstanding and resulting market valuation do not reflect shares of our common stock issuable upon the exercise of pre-funded warrants that are exercisable at the discretion of the holders of such warrants. If we sell shares of our common stock in the future, stockholders may experience immediate dilution. Stockholders may be unable to compute the dilutive impact of future financings.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from time to time issue additional shares of common stock, and as a result, our stockholders would experience immediate dilution. In addition, as opportunities present themselves, we may enter into financing or similar arrangements in the future, including the issuance of debt securities, preferred stock or common stock. For example, in March 2024, we entered into a sales agreement with TD Cowen, as sales agent, pursuant to which we sold approximately $66.7 million of shares of our common stock under an at the market offering program as of the date of this Quarterly Report on Form 10-Q. In March 2026, we entered into a new sales agreement with TD Cowen, as sales agent, pursuant to which we may issue and sell shares of our common stock for an aggregate maximum offering price of up to $150 million under a new at-the-market offering program. As of the filing date of this Quarterly Report on Form 10-Q, we had sold $32.2 million of common stock under the program. In addition, in December 2023, June 2024, and November 2025, we closed financings which included the sale of pre-funded warrants to purchase shares of our common stock. Until exercised, the shares issuable upon the exercise of the pre-funded warrants are not included in the number of our outstanding shares of common stock. If we issue common stock or securities convertible into common stock in the future, our stockholders would experience additional dilution and such dilutive impact may be difficult to compute.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our stock price to fall.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existing stockholders sell, or indicate an intention to sell, substantial amounts of our common stock in the public market, the stock price of our common stock could decline. As of June 30, 2026, the number of shares of our common stock outstanding was 174,604,198. This number does not include 29,765,799 shares of common stock issuable upon the exercise of pre-funded warrants. On August 12, 2024, we filed a resale registration statement on Form S-3, pursuant to which, entities and trusts affiliated with Muneer Satter, a member of our board of directors, can sell up to 3,000,000 shares of common stock. Sales of a substantial number of shares of our common stock in the public market, or the perception that these sales might occur, may reduce the stock price of our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ability to use our net operating loss carryforwards and certain other tax attributes may be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Sections 382 and 383 of the Internal Revenue Code of 1986, as amended, or the Code, if a corporation undergoes an “ownership change,” generally defined as a greater than 50 percentage point change (by value) in its equity ownership by certain stockholders over a rolling three-year period, the corporation’s ability to use its pre-change net operating loss carryforwards, or NOLs, and other pre-change tax attributes (such as research and development tax credits) to offset its post-change income or taxes may be limited.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completed a study through December 31, 2025, to determine whether an ownership change had occurred under Section 382 or 383 of the Code, and we determined that ownership changes occurred in 2011, 2014, 2020 and 2023. We have identified $0.1 million and $34.7 million of federal and state NOLs, respectively, that will expire unused due to ownership changes, and federal credits of $4.3 million that will not be able to be utilized due to ownership change limitation and excluded these amounts from deferred tax asset balances as of December 31, 2025. Federal NOLs of $556.1 million and state and local NOLs of $191.4 million are not expected to expire unutilized as a result of ownership changes identified through December 31,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use NOLs, research and development credit carryforwards and other tax attributes to reduce future taxable income and tax liabilities may be further limited as a result of shifts in our stock ownership subsequent to December 31, 2025. As a result, even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attain profitability, our ability to use our pre-change NOLs or other pre-change tax attributes to offset United States federal and state taxable income may be subject to further limitations.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Provisions in our charter documents and under Delaware law could discourage a takeover that stockholders may consider favorable and may lead to entrenchment of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and amended and restated bylaws contain provisions that could delay or prevent changes in control or changes in our management without the consent of our board of directors. These provisions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classified board of directors with three-year staggered terms, which may delay the ability of stockholders to change the membership of a majority of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cumulative voting in the election of directors, which limits the ability of minority stockholders to elect director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exclusive right of our board of directors to elect a director to fill a vacancy, however occurring, including by an expansion of the board of directors, which prevents stockholders from being able to fill vacancies on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our board of directors to authorize the issuance of shares of preferred stock and to determine the price and other terms of those shares, including voting or other rights or preferences, without stockholder approval, which could be used to significantly dilute the ownership of a hostile acquiror;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our board of directors to alter our amended and restated bylaws without obtaining stockholder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prohibition on stockholder action by written consent, which forces stockholder action to be taken at an annual or special meeting of our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requirement that a special meeting of stockholders may be called only by the board of directors, which may delay the ability of our stockholders to force consideration of a proposal or to take action, including the removal of directors;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the anti-takeover provisions contained in Section 203 of the General Corporation law of the State of Delaware, or DGCL.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Claims for indemnification by our directors and officers may reduce our available funds to satisfy successful third-party claims against us and may reduce the amount of money available to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and amended and restated bylaws provide that we will indemnify our directors and officers, in each case to the fullest extent permitted by Delaware law.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as permitted by Section 145 of the DGCL, our amended and restated bylaws and our indemnification agreements that we have entered into with our directors and officers provide that: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in our discretion, indemnify employees and agents in those circumstances where indemnification is permitted by applicable law;</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not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rights conferred in our amended and restated bylaws are not exclusive, and we are authorized to enter into indemnification agreements with our directors, officers, employees and agents and to obtain insurance to indemnify such persons;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retroactively amend our amended and restated bylaw provisions to reduce our indemnification obligations to directors, officers, employees and agents.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maintain a directors’ and officers’ insurance policy, such insurance may not be adequate to cover all liabilities that we may incur, which may reduce our available funds to satisfy third-party claims and may adversely impact our cash position.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amended and restated certificate of incorporation and amended and restated bylaws provide that the Court of Chancery of the State of Delaware is the exclusive forum for certain disputes between us and our stockholders, which could limit our stockholders’ ability to obtain a favorable judicial forum for disputes with us or our directors, officers or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are the exclusive forum for the resolution of any complaint asserting a cause of action against us or any of our directors, officers, employees or agents and arising under the Securities Act. Nothing in our amended and restated certificate of incorporation and amended and restated bylaws precludes stockholders that assert claims under the Exchange Act from bringing such claims in state or federal court, subject to applicable law.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that will be contained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do not currently intend to pay dividends on our common stock, and, consequently, your ability to achieve a return on your investment will depend on appreciation in the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360" w:after="283"/>
        <w:jc w:val="both"/>
        <w:rPr>
          <w:rFonts w:ascii="Times New Roman" w:hAnsi="Times New Roman"/>
          <w:sz w:val="20"/>
        </w:rPr>
      </w:pPr>
      <w:r>
        <w:rPr>
          <w:rFonts w:ascii="Times New Roman" w:hAnsi="Times New Roman"/>
          <w:b/>
          <w:i/>
          <w:color w:val="000000"/>
          <w:sz w:val="20"/>
        </w:rPr>
        <w:t>Changes in tax laws and regulations may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affect the tax treatment of any of our future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 Generally, future changes in applicable U.S. and non-U.S. tax laws and regulations, or their interpretation and application, could have an adverse effect on our business, financial conditions and results of operations. We are unable to predict whether such changes will occur and, if so, the ultimate impact on our business.</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Cybersecurity risks and the failure to maintain the security, confidentiality, integrity, or availability of our information technology systems or data, and those maintained on our behalf, could lead to adverse consequences that materially adversely affect our business, including, without limitation, regulatory investigations or actions, a material interruption to our operations, including clinical trials, damage to our reputation and/or subject us to costs, fines and penalties or lawsuits.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collect and maintain information in digital and other forms that is necessary to conduct our business, and we are increasingly dependent on information technology systems and infrastructure to operate our business. In the ordinary course of our business, we and the third parties with whom we work process sensitive data. We have established certain physical, electronic and organizational measures designed to safeguard and secure our systems in an effort to prevent a data or other compromise; there can, however, be no assurance that these measures will be or have been effective. We have also outsourced elements of our information technology infrastructure, and as a result a number of third-party vendors have access to our sensitive data. Our information technology systems and infrastructure, and those of any future collaborators and our contractors, consultants, vendors and other third parties with whom we work, are vulnerable to and have experienced attacks, damage and interruption from cyber-attacks, malicious internet-based activity, online and offline fraud, malicious code (such as computer viruses, and worms), malware, ransomware attacks, credential stuffing, credential harvesting, supply-chain attacks, natural disasters, fire, terrorism, war, telecommunication and electrical failures, attacks enhanced or facilitated by AI, denial or degradation of service attacks, hacking, sophisticated nation-state and nation-state supported actors, phishing and other social engineering attacks (including through deep fakes, which are increasingly more difficult to identify), attachments to emails, fraud, personnel misconduct or error, server malfunctions, software or hardware failures, loss or theft of data or information technology assets, unauthorized access or use, and other similar threats. In particular, ransomware attacks are becoming increasingly prevalent and can lead to significant interruptions in our operations, loss of sensitive data,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risk of a security breach or disruption, particularly through cyber-attacks, including by traditional computer “hackers”, threat actors, “hacktivists”, organized criminal threat actors, sophisticated nation states, and nation-state supported actors, and cyber terrorists, has generally increased as the number, intensity and sophistication of attempted attacks and intrusions from around the world have increased. The prevalent use of mobile devices that access sensitive data also increases the risk of lost or stolen devices, security incidents and data security breaches, which could lead to the loss or other compromise of sensitive data. In a hybrid working environment, we also face risks of a security breach or disruption due to our reliance on information systems that we do not necessarily control and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number of our personnel who are working remotely, which creates additional opportunities for cyber criminals to exploit vulnerabilities or other weaknesses.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because the techniques used to obtain unauthorized access to, or to sabotage, systems change frequently and often are not recognized until launched against a target, we may be unable to anticipate these techniques or implement adequate preventative measures. Security breaches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Further, we have and may in the future experience delays in developing and deploying remedial measures and patches designed to address identified vulnerabilities.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upon third-party service providers and technologies to operate critical business systems and process sensitive data in a variety of contexts, including, without limitation, third-party providers of cloud-based infrastructure, encryption and authentication technology, employee email, and other functions. Our ability to monitor these third parties’ security practices is limited, and these third parties may not have adequate security measures in place. Our third-party service providers have experienced and may experience in the future a security incident or other interruption. For example, in 2025, two of our service providers experienced potential security incidents that triggered us to conduct investigations. While we determined that these incidents did not have a material impact on our business, results of operations, or financial condition, these and similar incidents have and could lead to business interruptions and additional costs. Any significant system failure, accident or security breach and resulting interruptions in our operations or our critical third parties’ operations could result in a material disruption of our product development programs, and ultimately, our financial results. For example, the loss of clinical trial data from completed or ongoing or planned clinical trials could result in delays in our regulatory approval efforts and significantly increase our costs to recover or reproduce the data. While we may be entitled to damages if our third-party service providers fail to satisfy their privacy or security-related obligations to us, any award may be insufficient to cover our damages, or we may be unable to recover such award.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expend significant resources or modify our business activities (including our clinical trial activities) to try to protect against security incidents. The costs to us to prevent, investigate, mitigate and remediate security incidents, breaches, disruptions, network security problems, bugs, viruses, worms, malicious software programs and security vulnerabilities could be significant, and while we have implemented security measures designed to protect our data security and information technology systems and sensitive data, our efforts to address these problems may not be successful, and these problems have and may in the future result in unexpected interruptions, delays, cessation of service, negative publicity and other harm to our business and our competitive position. Any security compromise affecting us or the third parties with whom we work, or our industry, whether real or perceived, could harm our reputation, erode confidence in the effectiveness of our security measures and lead to regulatory scrutiny. Moreover, if a security breach affects our systems or results in the unauthorized access to or unauthorized use, disclosure, release or other processing of sensitive data, we may be required, or we may voluntarily choose, to notify individuals, governmental authorities, supervisory bodies, the media and other parties, or to take other actions, such as providing credit monitoring and identity theft protection services pursuant to privacy and security laws or other obligations, and our reputation could be materially damaged. We would also be exposed to a risk of loss, governmental investigations or enforcement, or litigation (including class action claims) and other potential liability, which could materially adversely affect our business, results of operations and financial condition.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maintain cyber liability insurance; however, this insurance may not be sufficient to cover the financial, legal, business or reputational losses that may result from an interruption or breach of our systems.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Actual or perceived failure to comply with applicable data protection laws, regulations, standards, contractual obligations and other requirements related to data privacy and security could lead to government enforcement actions as well as civil and criminal penalties, private litigation (including class actions), adverse publicity and otherwise could negatively affect our results of operations and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(collectively, process) personal data and other sensitive and confidential information, including proprietary and confidential business data, trade secrets, intellectual property, data we may collect about trial participants in connection with clinical trials, sensitive third-party data, and employee data (collectively, sensitive data). Our data processing activities actually or may subject us to numerous privacy and security obligations, such as various laws, regulations, guidance, industry standards, external and internal privacy and security policies, contractual requirements, and other obligations relating to data privacy and security. Data privacy and security obligations are stringent and changing, with new data privacy and security laws being proposed or enacted. Preparing for and complying with these obligations requires significant resources and has in the past necessitated and may in the future necessitate changes to our information technologies, systems, and practices and to those of any third parties with whom we work. The laws and regulations that affect our ability to operate include, but may not be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Health Insurance Portability and Accountability Act of 1996, as amended by the Health Information Technology for Economic and Clinical Health Act of 2009 and its implementing regulations, or HIPAA, which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We do not believe that we are currently acting as a covered entity or business associate under HIPAA and thus are not directly subject to its requirements or penalties. Depending on the facts and circumstances, however, we could be subject to significant administrative, civil and criminal penalties if we obtain, use or disclose individually identifiable health information maintained by a HIPAA-covered entity in a manner that is not authorized or permitted by HIPAA;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California Consumer Privacy Act of 2018, or CCPA, which requires covered businesses to provide certain disclosures in privacy notices to California residents, including consumers, business representatives, and employees, and requires businesses honor certain requests of California residents to exercise certain privacy rights. The CCPA provides for administrative fines, as well as a private right of action for data breaches that has increased the likelihood of, and risks associated with data breach litigation. Further, the amendments to the CCPA expanded the CCPA’s requirements, including by adding a right for individuals to correct their personal data and establishing a regulatory agency to implement and enforce the law. Additional compliance investment and business process changes may be required in an effort to address data protection laws. Similar laws have been passed in other states and are continuing to be proposed at the state and federal level, reflecting a trend toward more stringent privacy legislation in the United States. The enactment of such laws could have potentially conflicting requirements that make compliance challenging. The CCPA and other comprehensive U.S. state consumer privacy laws exempt some data processed in the context of clinical trials, but these developments may further complicate compliance efforts, and increase legal risk and compliance costs for us and the third parties with whom we work;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data protection laws, including the European Union’s General Data Protection Regulation, or EU GDPR, and the United Kingdom GDPR, or UK GDPR, and laws of other jurisdictions in which we have in the past, presently or may in the future conduct clinical trials (such as Australia, Canada, and New Zealand), which contain provisions specifically directed at the processing of personal data and, more broadly, impose significant and complex compliance burdens on processing personal data. Under the EU and UK GDPR, government regulators may impose temporary or definitive bans on data processing, as well as fines for noncompliance of up to €20 million under the EU GDPR (£17.5 million under the UK GDPR) or 4% of annual global revenue of the noncompliance company, whichever is greater. Noncompliance with the EU and UK GDPR could also result in private litigation related to the processing of personal data brought by classes of data subjects or consumer protection organizations authorized at law to represent their interests. These laws such as the EU and UK GDPR impose numerous requirements for the collection, use, storage and disclosure of personal data of data subjects, including requirements relating to providing notice to and obtaining consent from data subjects, personal data breach notification, cross-border transfers of personal data, and honoring and providing for the rights of individuals in relation to their personal data, including the right to access, correct and delete their data. Among other requirements, the EU and UK GDPR regulate transfers of personal data subject to the EU and UK GDPR to third countries that have not been found to provide adequate protection to such personal data, including the United States, and the efficacy and longevity of current transfer mechanisms between the EU and the United States remains uncertain.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ordinary course of business, we transfer personal data from Europe and other jurisdictions to the United States and other countries.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to relevant U.S.-based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organizations who self-certify compliance and participate in the Framework), these mechanisms are subject to legal challenges, and there is no assurance that we can satisfy or rely on these measures to lawfully transfer personal data to the United States or other relevant countries. If there were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out of Europe for allegedly violating the EU GDPR’s cross-border data transfer limitations. Other jurisdictions (including the US) have adopted or may adopt stringent data localization and cross-border data transfer laws. For example, regulators in the United States have enacted certain prohibitions and restrictions on cross-border data transfers. Specifically, the U.S. Department of Justice issued a rule entitled the Preventing Access to U.S. Sensitive Personal Data and Government-Related Data by Countries of Concern or Covered Persons, which limits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has or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that operate in the clinical trial space and impacts our ability to transfer data in connection with certain transactions.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data privacy and security laws, clinical trial subjects about whom we or any of our potential collaborators obtain information, as well as the providers who share this information with us, have and may in the future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materially and adversely affect our business, financial condition, results of operations and prospects. We also publish policies, marketing materials, and other statements regarding data privacy and security. Regulators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personnel use generative artificial intelligence, or AI, and/or automated decision-making technologies to perform their work, and the disclosure and use of personal data in generative AI technologies is subject to various privacy laws and other privacy obligations. Governments have passed and are likely to pass additional laws regulating AI and/or automated decision-making technologies. Our use of this technology could result in additional compliance costs, regulatory investigations and actions, and lawsuits. If we are unable to use AI and/or automated decision-making technologies, it could make our business less efficient and result in competitive disadvantages.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work to comply with applicable privacy and data security laws, regulations and standards, contractual obligations and other legal obligations, these requirements are evolving and may be modified, interpreted and applied in an inconsistent manner from one jurisdiction to another, and may conflict with one another or other legal obligations with which we must comply. Compliance with these data protection obligations has in the past and may in the future require us to take on more onerous obligations in our contracts, require us to engage in costly compliance exercises, restrict our ability to collect, use, disclose and otherwise process personal data, or in some cases, impact our or our partners’ or suppliers’ ability to operate in certain jurisdictions. Any actual or perceived failure to comply by us or our personnel, representatives, contractors, consultants, collaborators, or other third parties could result in government investigations and/or enforcement actions, fines, civil and/or criminal penalties, additional reporting requirements and/or oversight, bans on processing personal data (including clinical trial data), orders to destroy or not use personal data, private litigation (including class action claims) and mass arbitration demands, adverse publicity and could otherwise negatively affect our results of operations and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issue an adverse or misleading opinion regarding our stock, our stock price and trading volume could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trials and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subject to securities litigation, which is expensive and could divert our management’s attention.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14" w:name="item_2_recent_sales_unregistered_securit"/>
      <w:bookmarkEnd w:id="14"/>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5" w:name="item_3_defaults_upon_senior_securities"/>
      <w:bookmarkEnd w:id="15"/>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6" w:name="item_4_mine_safety_disclosures"/>
      <w:bookmarkEnd w:id="16"/>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17" w:name="item_5_other_information"/>
      <w:bookmarkEnd w:id="17"/>
      <w:r>
        <w:rPr>
          <w:rFonts w:ascii="Times New Roman" w:hAnsi="Times New Roman"/>
          <w:b/>
          <w:color w:val="000000"/>
          <w:sz w:val="20"/>
        </w:rPr>
        <w:t>Item 5. Other Information.</w:t>
      </w:r>
    </w:p>
    <w:p>
      <w:pPr>
        <w:pStyle w:val="TextBody"/>
        <w:bidi w:val="0"/>
        <w:spacing w:before="240" w:after="240"/>
        <w:jc w:val="both"/>
        <w:rPr>
          <w:rFonts w:ascii="Times New Roman" w:hAnsi="Times New Roman"/>
          <w:b/>
          <w:i/>
          <w:color w:val="000000"/>
          <w:sz w:val="20"/>
        </w:rPr>
      </w:pPr>
      <w:r>
        <w:rPr>
          <w:rFonts w:ascii="Times New Roman" w:hAnsi="Times New Roman"/>
          <w:b/>
          <w:i/>
          <w:color w:val="000000"/>
          <w:sz w:val="20"/>
        </w:rPr>
        <w:t>Insider Trading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During the three months ended June 30, 2026, none of our directors or officers (as defined in Rule 16a-1(f) under the Exchange Act) adopted, amended or terminated any “Rule 10b5-1 trading arrangement” or “non-Rule 10b5-1 trading arrangement,” as those terms are defined in Item 408 of Regulation S-K.</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8" w:name="item_6_exhibits"/>
      <w:bookmarkEnd w:id="18"/>
      <w:r>
        <w:rPr>
          <w:rFonts w:ascii="Times New Roman" w:hAnsi="Times New Roman"/>
          <w:b/>
          <w:color w:val="000000"/>
          <w:sz w:val="20"/>
        </w:rPr>
        <w:t>Item 6. Exhibits.</w:t>
      </w:r>
    </w:p>
    <w:p>
      <w:pPr>
        <w:pStyle w:val="TextBody"/>
        <w:bidi w:val="0"/>
        <w:jc w:val="center"/>
        <w:rPr>
          <w:rFonts w:ascii="Times New Roman" w:hAnsi="Times New Roman"/>
          <w:sz w:val="20"/>
        </w:rPr>
      </w:pPr>
      <w:bookmarkStart w:id="19" w:name="exhibit_index"/>
      <w:bookmarkEnd w:id="19"/>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6"/>
        <w:gridCol w:w="146"/>
        <w:gridCol w:w="5235"/>
        <w:gridCol w:w="146"/>
        <w:gridCol w:w="511"/>
        <w:gridCol w:w="146"/>
        <w:gridCol w:w="744"/>
        <w:gridCol w:w="146"/>
        <w:gridCol w:w="631"/>
        <w:gridCol w:w="146"/>
        <w:gridCol w:w="643"/>
        <w:gridCol w:w="146"/>
        <w:gridCol w:w="829"/>
      </w:tblGrid>
      <w:tr>
        <w:trPr/>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736"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35"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967"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235"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4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9"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566"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5"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07/28/20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5" w:type="dxa"/>
            <w:tcBorders/>
            <w:tcMar>
              <w:top w:w="0" w:type="dxa"/>
              <w:left w:w="0" w:type="dxa"/>
              <w:bottom w:w="0" w:type="dxa"/>
              <w:right w:w="0" w:type="dxa"/>
            </w:tcMar>
            <w:vAlign w:val="center"/>
          </w:tcPr>
          <w:p>
            <w:pPr>
              <w:pStyle w:val="TableContents"/>
              <w:bidi w:val="0"/>
              <w:spacing w:before="0" w:after="283"/>
              <w:jc w:val="left"/>
              <w:rPr/>
            </w:pPr>
            <w:hyperlink w:anchor="annx-ex3_2.htm">
              <w:r>
                <w:rPr>
                  <w:rStyle w:val="InternetLink"/>
                  <w:rFonts w:ascii="Times New Roman" w:hAnsi="Times New Roman"/>
                  <w:color w:val="0000FF"/>
                  <w:sz w:val="20"/>
                  <w:u w:val="single"/>
                </w:rPr>
                <w:t>Amendment to 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20"/>
              </w:rPr>
            </w:pPr>
            <w:r>
              <w:rPr>
                <w:rFonts w:ascii="Times New Roman" w:hAnsi="Times New Roman"/>
                <w:color w:val="000000"/>
                <w:sz w:val="20"/>
              </w:rPr>
              <w:t>X</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5"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001-39402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07/28/20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ind w:left="0" w:right="0" w:firstLine="216"/>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5" w:type="dxa"/>
            <w:tcBorders/>
            <w:tcMar>
              <w:top w:w="0" w:type="dxa"/>
              <w:left w:w="0" w:type="dxa"/>
              <w:bottom w:w="0" w:type="dxa"/>
              <w:right w:w="0" w:type="dxa"/>
            </w:tcMar>
            <w:vAlign w:val="center"/>
          </w:tcPr>
          <w:p>
            <w:pPr>
              <w:pStyle w:val="TableContents"/>
              <w:bidi w:val="0"/>
              <w:spacing w:before="0" w:after="283"/>
              <w:jc w:val="left"/>
              <w:rPr/>
            </w:pPr>
            <w:hyperlink w:anchor="annx-ex10_1.htm">
              <w:r>
                <w:rPr>
                  <w:rStyle w:val="InternetLink"/>
                  <w:rFonts w:ascii="Times New Roman" w:hAnsi="Times New Roman"/>
                  <w:color w:val="0000FF"/>
                  <w:sz w:val="20"/>
                  <w:u w:val="single"/>
                </w:rPr>
                <w:t>Non-Employee Director Compensation Program.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color w:val="000000"/>
                <w:sz w:val="20"/>
              </w:rPr>
            </w:pPr>
            <w:r>
              <w:rPr>
                <w:rFonts w:ascii="Times New Roman" w:hAnsi="Times New Roman"/>
                <w:color w:val="000000"/>
                <w:sz w:val="20"/>
              </w:rPr>
              <w:t>X</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5" w:type="dxa"/>
            <w:tcBorders/>
            <w:tcMar>
              <w:top w:w="0" w:type="dxa"/>
              <w:left w:w="0" w:type="dxa"/>
              <w:bottom w:w="0" w:type="dxa"/>
              <w:right w:w="0" w:type="dxa"/>
            </w:tcMar>
            <w:vAlign w:val="center"/>
          </w:tcPr>
          <w:p>
            <w:pPr>
              <w:pStyle w:val="TableContents"/>
              <w:bidi w:val="0"/>
              <w:spacing w:before="0" w:after="283"/>
              <w:jc w:val="left"/>
              <w:rPr/>
            </w:pPr>
            <w:hyperlink w:anchor="annx-ex31_1.htm">
              <w:r>
                <w:rPr>
                  <w:rStyle w:val="InternetLink"/>
                  <w:rFonts w:ascii="Times New Roman" w:hAnsi="Times New Roman"/>
                  <w:color w:val="0000FF"/>
                  <w:sz w:val="20"/>
                  <w:u w:val="single"/>
                </w:rPr>
                <w:t>Certification of Principal Executive Officer Pursuant to Rules 13a-14(a) and 15d-14(a) under the Securities Exchange Act of 1934,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5" w:type="dxa"/>
            <w:tcBorders/>
            <w:tcMar>
              <w:top w:w="0" w:type="dxa"/>
              <w:left w:w="0" w:type="dxa"/>
              <w:bottom w:w="0" w:type="dxa"/>
              <w:right w:w="0" w:type="dxa"/>
            </w:tcMar>
            <w:vAlign w:val="center"/>
          </w:tcPr>
          <w:p>
            <w:pPr>
              <w:pStyle w:val="TableContents"/>
              <w:bidi w:val="0"/>
              <w:spacing w:before="0" w:after="283"/>
              <w:jc w:val="left"/>
              <w:rPr/>
            </w:pPr>
            <w:hyperlink w:anchor="annx-ex31_2.htm">
              <w:r>
                <w:rPr>
                  <w:rStyle w:val="InternetLink"/>
                  <w:rFonts w:ascii="Times New Roman" w:hAnsi="Times New Roman"/>
                  <w:color w:val="0000FF"/>
                  <w:sz w:val="20"/>
                  <w:u w:val="single"/>
                </w:rPr>
                <w:t>Certification of Principal Financial Officer Pursuant to Rules 13a-14(a) and 15d-14(a) under the Securities Exchange Act of 1934,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5" w:type="dxa"/>
            <w:tcBorders/>
            <w:tcMar>
              <w:top w:w="0" w:type="dxa"/>
              <w:left w:w="0" w:type="dxa"/>
              <w:bottom w:w="0" w:type="dxa"/>
              <w:right w:w="0" w:type="dxa"/>
            </w:tcMar>
            <w:vAlign w:val="center"/>
          </w:tcPr>
          <w:p>
            <w:pPr>
              <w:pStyle w:val="TableContents"/>
              <w:bidi w:val="0"/>
              <w:spacing w:before="0" w:after="283"/>
              <w:jc w:val="left"/>
              <w:rPr/>
            </w:pPr>
            <w:hyperlink w:anchor="annx-ex32_1.htm">
              <w:r>
                <w:rPr>
                  <w:rStyle w:val="InternetLink"/>
                  <w:rFonts w:ascii="Times New Roman" w:hAnsi="Times New Roman"/>
                  <w:color w:val="0000FF"/>
                  <w:sz w:val="20"/>
                  <w:u w:val="single"/>
                </w:rPr>
                <w:t>Certification Pursuant to 18 U.S.C. Section 1350, As Adopted Pursuant to Section 906 of the Sarbanes-Oxley Act of 2002,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The certification attached as Exhibit 32.1 that accompanies this Quarterly Report on Form 10-Q pursuant to 18 U.S.C. Section 1350, as adopted pursuant to Section 906 of the Sarbanes-Oxley Act of 2002, as amended, is not deemed “filed” by the Registrant for purposes of Section 18 of the Securities Exchange Act of 1934, as amended, nor shall Exhibit 32.1 be deemed to be incorporated by reference into any filing under the Securities Act of 1933, as amended, except to the extent that the Registrant specifically incorporates it by reference.</w:t>
      </w:r>
    </w:p>
    <w:p>
      <w:pPr>
        <w:pStyle w:val="TextBody"/>
        <w:bidi w:val="0"/>
        <w:spacing w:before="40" w:after="283"/>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6944" w:type="dxa"/>
        <w:jc w:val="left"/>
        <w:tblInd w:w="0" w:type="dxa"/>
        <w:tblLayout w:type="fixed"/>
        <w:tblCellMar>
          <w:top w:w="28" w:type="dxa"/>
          <w:left w:w="28" w:type="dxa"/>
          <w:bottom w:w="28" w:type="dxa"/>
          <w:right w:w="28" w:type="dxa"/>
        </w:tblCellMar>
      </w:tblPr>
      <w:tblGrid>
        <w:gridCol w:w="1951"/>
        <w:gridCol w:w="406"/>
        <w:gridCol w:w="146"/>
        <w:gridCol w:w="444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99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Annexon,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Douglas Love, Esq.</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Douglas Love, Esq.</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Jennifer Lew</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Lew</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1" w:name="annx-ex3_2.htm"/>
      <w:bookmarkStart w:id="22" w:name="ksannxex3_2"/>
      <w:bookmarkEnd w:id="21"/>
      <w:bookmarkEnd w:id="22"/>
      <w:r>
        <w:rPr>
          <w:rFonts w:ascii="Times New Roman" w:hAnsi="Times New Roman"/>
          <w:color w:val="000000"/>
          <w:sz w:val="20"/>
        </w:rPr>
        <w:t>Exhibit 3.2</w:t>
      </w:r>
      <w:r>
        <w:br w:type="page"/>
      </w:r>
    </w:p>
    <w:p>
      <w:pPr>
        <w:pStyle w:val="TextBody"/>
        <w:bidi w:val="0"/>
        <w:jc w:val="lef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CERTIFICATE OF AMENDMENT</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OF</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AMENDED AND RESTATED CERTIFICATE OF INCORPORATION</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OF</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ANNEXON, INC.</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Pursuant to Section 242 of the General Corporation Law of the State of Delaware</w:t>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Annexon, Inc., a corporation organized and existing under and by virtue of the Delaware General Corporation Law, hereby certifies as follows: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The Amended and Restated Certificate of Incorporation is hereby amended by deleting the second sentence of Article IV Section 1 thereof and inserting the following in lieu thereof: </w:t>
      </w:r>
    </w:p>
    <w:p>
      <w:pPr>
        <w:pStyle w:val="TextBody"/>
        <w:bidi w:val="0"/>
        <w:spacing w:before="240" w:after="283"/>
        <w:jc w:val="left"/>
        <w:rPr>
          <w:color w:val="000000"/>
        </w:rPr>
      </w:pPr>
      <w:bookmarkStart w:id="23" w:name="quickmark"/>
      <w:bookmarkEnd w:id="23"/>
      <w:r>
        <w:rPr>
          <w:color w:val="000000"/>
        </w:rPr>
        <w:t>“</w:t>
      </w:r>
      <w:r>
        <w:rPr>
          <w:rFonts w:ascii="Times New Roman" w:hAnsi="Times New Roman"/>
          <w:color w:val="000000"/>
          <w:sz w:val="24"/>
        </w:rPr>
        <w:t>The total number of shares that the Corporation is authorized to issue is 505,000,000, of which 500,000,000 shares shall be Common Stock and 5,000,000 shares shall be Preferred Stock.”</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foregoing amendment was duly adopted in accordance with the provisions of Section 242 of the General Corporation Law of the State of Delaware.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WITNESS WHEREOF, the Corporation has caused this Certificate to be executed by its duly authorized officer on this eleventh day of June, 2026.</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smallCaps/>
          <w:color w:val="000000"/>
          <w:sz w:val="24"/>
        </w:rPr>
      </w:pPr>
      <w:r>
        <w:rPr>
          <w:rFonts w:ascii="Times New Roman" w:hAnsi="Times New Roman"/>
          <w:b/>
          <w:smallCaps/>
          <w:color w:val="000000"/>
          <w:sz w:val="24"/>
        </w:rPr>
        <w:t>Annexon, Inc.</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_/s/ Douglas Love</w:t>
      </w:r>
      <w:r>
        <w:rPr>
          <w:rFonts w:ascii="Times New Roman" w:hAnsi="Times New Roman"/>
          <w:color w:val="000000"/>
          <w:sz w:val="24"/>
        </w:rPr>
        <w:t>_______________</w:t>
      </w:r>
    </w:p>
    <w:p>
      <w:pPr>
        <w:pStyle w:val="TextBody"/>
        <w:bidi w:val="0"/>
        <w:jc w:val="left"/>
        <w:rPr>
          <w:rFonts w:ascii="Times New Roman" w:hAnsi="Times New Roman"/>
          <w:sz w:val="20"/>
        </w:rPr>
      </w:pPr>
      <w:r>
        <w:rPr>
          <w:rFonts w:ascii="Times New Roman" w:hAnsi="Times New Roman"/>
          <w:color w:val="000000"/>
          <w:sz w:val="24"/>
        </w:rPr>
        <w:t>Name: Douglas Love, Esq.</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Title: Chief Executive Officer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annx-ex10_1.htm"/>
      <w:bookmarkStart w:id="25" w:name="ksannxex10_1"/>
      <w:bookmarkEnd w:id="24"/>
      <w:bookmarkEnd w:id="25"/>
      <w:r>
        <w:rPr>
          <w:rFonts w:ascii="Times New Roman" w:hAnsi="Times New Roman"/>
          <w:b/>
          <w:color w:val="000000"/>
          <w:sz w:val="20"/>
        </w:rPr>
        <w:t>Exhibit 10.1</w:t>
      </w:r>
      <w:r>
        <w:br w:type="page"/>
      </w:r>
    </w:p>
    <w:p>
      <w:pPr>
        <w:pStyle w:val="TextBody"/>
        <w:bidi w:val="0"/>
        <w:spacing w:before="0" w:after="240"/>
        <w:jc w:val="right"/>
        <w:rPr/>
      </w:pPr>
      <w:r>
        <w:rPr/>
        <w:t> </w:t>
      </w:r>
    </w:p>
    <w:p>
      <w:pPr>
        <w:pStyle w:val="TextBody"/>
        <w:bidi w:val="0"/>
        <w:spacing w:before="0" w:after="240"/>
        <w:jc w:val="center"/>
        <w:rPr>
          <w:rFonts w:ascii="Times New Roman" w:hAnsi="Times New Roman"/>
          <w:b/>
          <w:smallCaps/>
          <w:color w:val="000000"/>
          <w:sz w:val="22"/>
          <w:u w:val="single"/>
        </w:rPr>
      </w:pPr>
      <w:r>
        <w:rPr>
          <w:rFonts w:ascii="Times New Roman" w:hAnsi="Times New Roman"/>
          <w:b/>
          <w:smallCaps/>
          <w:color w:val="000000"/>
          <w:sz w:val="22"/>
          <w:u w:val="single"/>
        </w:rPr>
        <w:t>Annexon, Inc.</w:t>
        <w:br/>
        <w:br/>
        <w:t>Non-Employee Director Compensation Program</w:t>
      </w:r>
    </w:p>
    <w:p>
      <w:pPr>
        <w:pStyle w:val="TextBody"/>
        <w:bidi w:val="0"/>
        <w:spacing w:before="0" w:after="240"/>
        <w:jc w:val="left"/>
        <w:rPr>
          <w:rFonts w:ascii="Times New Roman" w:hAnsi="Times New Roman"/>
          <w:sz w:val="20"/>
        </w:rPr>
      </w:pPr>
      <w:r>
        <w:rPr>
          <w:rFonts w:ascii="Times New Roman" w:hAnsi="Times New Roman"/>
          <w:color w:val="000000"/>
          <w:sz w:val="22"/>
        </w:rPr>
        <w:t>This Annexon,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Non-Employee Director Compensation Program (this “</w:t>
      </w:r>
      <w:r>
        <w:rPr>
          <w:rFonts w:ascii="Times New Roman" w:hAnsi="Times New Roman"/>
          <w:b/>
          <w:i/>
          <w:color w:val="000000"/>
          <w:sz w:val="22"/>
        </w:rPr>
        <w:t>Program</w:t>
      </w:r>
      <w:r>
        <w:rPr>
          <w:rFonts w:ascii="Times New Roman" w:hAnsi="Times New Roman"/>
          <w:color w:val="000000"/>
          <w:sz w:val="20"/>
        </w:rPr>
        <w:t>”</w:t>
      </w:r>
      <w:r>
        <w:rPr>
          <w:rFonts w:ascii="Times New Roman" w:hAnsi="Times New Roman"/>
          <w:color w:val="000000"/>
          <w:sz w:val="22"/>
        </w:rPr>
        <w:t>) has been adopted under the Company’s 2020 Incentive Award Plan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 and shall be effective as of June 11, 2026. Capitalized terms not otherwise defined herein shall have the meaning ascribed to them in the Plan.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i/>
          <w:color w:val="000000"/>
          <w:sz w:val="22"/>
        </w:rPr>
        <w:t>Cash Compensation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Annual retainers will be paid in the following amounts to Non-Employee Directors:</w:t>
      </w:r>
      <w:r>
        <w:rPr>
          <w:rFonts w:ascii="Times New Roman" w:hAnsi="Times New Roman"/>
          <w:color w:val="000000"/>
          <w:sz w:val="20"/>
        </w:rPr>
        <w:t xml:space="preserve"> </w:t>
      </w:r>
    </w:p>
    <w:tbl>
      <w:tblPr>
        <w:tblW w:w="8012" w:type="dxa"/>
        <w:jc w:val="left"/>
        <w:tblInd w:w="0" w:type="dxa"/>
        <w:tblLayout w:type="fixed"/>
        <w:tblCellMar>
          <w:top w:w="28" w:type="dxa"/>
          <w:left w:w="28" w:type="dxa"/>
          <w:bottom w:w="28" w:type="dxa"/>
          <w:right w:w="28" w:type="dxa"/>
        </w:tblCellMar>
      </w:tblPr>
      <w:tblGrid>
        <w:gridCol w:w="7021"/>
        <w:gridCol w:w="991"/>
      </w:tblGrid>
      <w:tr>
        <w:trPr/>
        <w:tc>
          <w:tcPr>
            <w:tcW w:w="702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7021" w:type="dxa"/>
            <w:tcBorders>
              <w:top w:val="single" w:sz="4" w:space="0" w:color="231F20"/>
              <w:left w:val="single" w:sz="4" w:space="0" w:color="231F20"/>
              <w:bottom w:val="single" w:sz="4" w:space="0" w:color="231F20"/>
              <w:right w:val="single" w:sz="4" w:space="0" w:color="231F20"/>
            </w:tcBorders>
            <w:tcMar>
              <w:top w:w="46" w:type="dxa"/>
              <w:left w:w="122" w:type="dxa"/>
              <w:right w:w="5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Non-Employee Director: </w:t>
            </w:r>
          </w:p>
        </w:tc>
        <w:tc>
          <w:tcPr>
            <w:tcW w:w="991" w:type="dxa"/>
            <w:tcBorders>
              <w:top w:val="single" w:sz="4" w:space="0" w:color="231F20"/>
              <w:bottom w:val="single" w:sz="4" w:space="0" w:color="231F20"/>
              <w:right w:val="single" w:sz="4" w:space="0" w:color="231F20"/>
            </w:tcBorders>
            <w:tcMar>
              <w:top w:w="46" w:type="dxa"/>
              <w:left w:w="0" w:type="dxa"/>
              <w:right w:w="5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$40,000 </w:t>
            </w:r>
          </w:p>
        </w:tc>
      </w:tr>
      <w:tr>
        <w:trPr/>
        <w:tc>
          <w:tcPr>
            <w:tcW w:w="7021" w:type="dxa"/>
            <w:tcBorders>
              <w:left w:val="single" w:sz="4" w:space="0" w:color="231F20"/>
              <w:bottom w:val="single" w:sz="4" w:space="0" w:color="231F20"/>
              <w:right w:val="single" w:sz="4" w:space="0" w:color="231F20"/>
            </w:tcBorders>
            <w:tcMar>
              <w:top w:w="0" w:type="dxa"/>
              <w:left w:w="122" w:type="dxa"/>
              <w:right w:w="5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Non-Executive Chair: </w:t>
            </w:r>
          </w:p>
        </w:tc>
        <w:tc>
          <w:tcPr>
            <w:tcW w:w="991" w:type="dxa"/>
            <w:tcBorders>
              <w:bottom w:val="single" w:sz="4" w:space="0" w:color="231F20"/>
              <w:right w:val="single" w:sz="4" w:space="0" w:color="231F20"/>
            </w:tcBorders>
            <w:tcMar>
              <w:top w:w="0" w:type="dxa"/>
              <w:left w:w="0" w:type="dxa"/>
              <w:right w:w="5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$35,000 </w:t>
            </w:r>
          </w:p>
        </w:tc>
      </w:tr>
      <w:tr>
        <w:trPr/>
        <w:tc>
          <w:tcPr>
            <w:tcW w:w="7021" w:type="dxa"/>
            <w:tcBorders>
              <w:left w:val="single" w:sz="4" w:space="0" w:color="231F20"/>
              <w:bottom w:val="single" w:sz="4" w:space="0" w:color="231F20"/>
              <w:right w:val="single" w:sz="4" w:space="0" w:color="231F20"/>
            </w:tcBorders>
            <w:tcMar>
              <w:top w:w="0" w:type="dxa"/>
              <w:left w:w="122" w:type="dxa"/>
              <w:right w:w="5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Audit Committee Chair: </w:t>
            </w:r>
          </w:p>
        </w:tc>
        <w:tc>
          <w:tcPr>
            <w:tcW w:w="991" w:type="dxa"/>
            <w:tcBorders>
              <w:bottom w:val="single" w:sz="4" w:space="0" w:color="231F20"/>
              <w:right w:val="single" w:sz="4" w:space="0" w:color="231F20"/>
            </w:tcBorders>
            <w:tcMar>
              <w:top w:w="0" w:type="dxa"/>
              <w:left w:w="0" w:type="dxa"/>
              <w:right w:w="5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$20,000 </w:t>
            </w:r>
          </w:p>
        </w:tc>
      </w:tr>
      <w:tr>
        <w:trPr/>
        <w:tc>
          <w:tcPr>
            <w:tcW w:w="7021" w:type="dxa"/>
            <w:tcBorders>
              <w:left w:val="single" w:sz="4" w:space="0" w:color="231F20"/>
              <w:bottom w:val="single" w:sz="4" w:space="0" w:color="231F20"/>
              <w:right w:val="single" w:sz="4" w:space="0" w:color="231F20"/>
            </w:tcBorders>
            <w:tcMar>
              <w:top w:w="0" w:type="dxa"/>
              <w:left w:w="122" w:type="dxa"/>
              <w:right w:w="5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Compensation Committee Chair: </w:t>
            </w:r>
          </w:p>
        </w:tc>
        <w:tc>
          <w:tcPr>
            <w:tcW w:w="991" w:type="dxa"/>
            <w:tcBorders>
              <w:bottom w:val="single" w:sz="4" w:space="0" w:color="231F20"/>
              <w:right w:val="single" w:sz="4" w:space="0" w:color="231F20"/>
            </w:tcBorders>
            <w:tcMar>
              <w:top w:w="0" w:type="dxa"/>
              <w:left w:w="0" w:type="dxa"/>
              <w:right w:w="5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$15,000</w:t>
            </w:r>
          </w:p>
        </w:tc>
      </w:tr>
      <w:tr>
        <w:trPr/>
        <w:tc>
          <w:tcPr>
            <w:tcW w:w="7021" w:type="dxa"/>
            <w:tcBorders>
              <w:left w:val="single" w:sz="4" w:space="0" w:color="231F20"/>
              <w:bottom w:val="single" w:sz="4" w:space="0" w:color="231F20"/>
              <w:right w:val="single" w:sz="4" w:space="0" w:color="231F20"/>
            </w:tcBorders>
            <w:tcMar>
              <w:top w:w="0" w:type="dxa"/>
              <w:left w:w="122" w:type="dxa"/>
              <w:right w:w="5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Nominating and Corporate Governance Committee Chair: </w:t>
            </w:r>
          </w:p>
        </w:tc>
        <w:tc>
          <w:tcPr>
            <w:tcW w:w="991" w:type="dxa"/>
            <w:tcBorders>
              <w:bottom w:val="single" w:sz="4" w:space="0" w:color="231F20"/>
              <w:right w:val="single" w:sz="4" w:space="0" w:color="231F20"/>
            </w:tcBorders>
            <w:tcMar>
              <w:top w:w="0" w:type="dxa"/>
              <w:left w:w="0" w:type="dxa"/>
              <w:right w:w="5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$10,000 </w:t>
            </w:r>
          </w:p>
        </w:tc>
      </w:tr>
      <w:tr>
        <w:trPr/>
        <w:tc>
          <w:tcPr>
            <w:tcW w:w="7021" w:type="dxa"/>
            <w:tcBorders>
              <w:left w:val="single" w:sz="4" w:space="0" w:color="231F20"/>
              <w:bottom w:val="single" w:sz="4" w:space="0" w:color="231F20"/>
              <w:right w:val="single" w:sz="4" w:space="0" w:color="231F20"/>
            </w:tcBorders>
            <w:tcMar>
              <w:top w:w="0" w:type="dxa"/>
              <w:left w:w="122" w:type="dxa"/>
              <w:right w:w="5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Science and Technology Committee Chair: </w:t>
            </w:r>
          </w:p>
        </w:tc>
        <w:tc>
          <w:tcPr>
            <w:tcW w:w="991" w:type="dxa"/>
            <w:tcBorders>
              <w:bottom w:val="single" w:sz="4" w:space="0" w:color="231F20"/>
              <w:right w:val="single" w:sz="4" w:space="0" w:color="231F20"/>
            </w:tcBorders>
            <w:tcMar>
              <w:top w:w="0" w:type="dxa"/>
              <w:left w:w="0" w:type="dxa"/>
              <w:right w:w="5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$15,000</w:t>
            </w:r>
          </w:p>
        </w:tc>
      </w:tr>
      <w:tr>
        <w:trPr/>
        <w:tc>
          <w:tcPr>
            <w:tcW w:w="7021" w:type="dxa"/>
            <w:tcBorders>
              <w:left w:val="single" w:sz="4" w:space="0" w:color="231F20"/>
              <w:bottom w:val="single" w:sz="4" w:space="0" w:color="231F20"/>
              <w:right w:val="single" w:sz="4" w:space="0" w:color="231F20"/>
            </w:tcBorders>
            <w:tcMar>
              <w:top w:w="0" w:type="dxa"/>
              <w:left w:w="122" w:type="dxa"/>
              <w:right w:w="5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Audit Committee Member (non-Chair): </w:t>
            </w:r>
          </w:p>
        </w:tc>
        <w:tc>
          <w:tcPr>
            <w:tcW w:w="991" w:type="dxa"/>
            <w:tcBorders>
              <w:bottom w:val="single" w:sz="4" w:space="0" w:color="231F20"/>
              <w:right w:val="single" w:sz="4" w:space="0" w:color="231F20"/>
            </w:tcBorders>
            <w:tcMar>
              <w:top w:w="0" w:type="dxa"/>
              <w:left w:w="0" w:type="dxa"/>
              <w:right w:w="5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$10,000 </w:t>
            </w:r>
          </w:p>
        </w:tc>
      </w:tr>
      <w:tr>
        <w:trPr/>
        <w:tc>
          <w:tcPr>
            <w:tcW w:w="7021" w:type="dxa"/>
            <w:tcBorders>
              <w:left w:val="single" w:sz="4" w:space="0" w:color="231F20"/>
              <w:bottom w:val="single" w:sz="4" w:space="0" w:color="231F20"/>
              <w:right w:val="single" w:sz="4" w:space="0" w:color="231F20"/>
            </w:tcBorders>
            <w:tcMar>
              <w:top w:w="0" w:type="dxa"/>
              <w:left w:w="122" w:type="dxa"/>
              <w:right w:w="5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Compensation Committee Member (non-Chair): </w:t>
            </w:r>
          </w:p>
        </w:tc>
        <w:tc>
          <w:tcPr>
            <w:tcW w:w="991" w:type="dxa"/>
            <w:tcBorders>
              <w:bottom w:val="single" w:sz="4" w:space="0" w:color="231F20"/>
              <w:right w:val="single" w:sz="4" w:space="0" w:color="231F20"/>
            </w:tcBorders>
            <w:tcMar>
              <w:top w:w="0" w:type="dxa"/>
              <w:left w:w="0" w:type="dxa"/>
              <w:right w:w="5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$7,500</w:t>
            </w:r>
          </w:p>
        </w:tc>
      </w:tr>
      <w:tr>
        <w:trPr/>
        <w:tc>
          <w:tcPr>
            <w:tcW w:w="7021" w:type="dxa"/>
            <w:tcBorders>
              <w:left w:val="single" w:sz="4" w:space="0" w:color="231F20"/>
              <w:bottom w:val="single" w:sz="4" w:space="0" w:color="231F20"/>
              <w:right w:val="single" w:sz="4" w:space="0" w:color="231F20"/>
            </w:tcBorders>
            <w:tcMar>
              <w:top w:w="0" w:type="dxa"/>
              <w:left w:w="122" w:type="dxa"/>
              <w:right w:w="5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Nominating and Corporate Governance Committee Member (non-Chair): </w:t>
            </w:r>
          </w:p>
        </w:tc>
        <w:tc>
          <w:tcPr>
            <w:tcW w:w="991" w:type="dxa"/>
            <w:tcBorders>
              <w:bottom w:val="single" w:sz="4" w:space="0" w:color="231F20"/>
              <w:right w:val="single" w:sz="4" w:space="0" w:color="231F20"/>
            </w:tcBorders>
            <w:tcMar>
              <w:top w:w="0" w:type="dxa"/>
              <w:left w:w="0" w:type="dxa"/>
              <w:right w:w="5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$5,000 </w:t>
            </w:r>
          </w:p>
        </w:tc>
      </w:tr>
      <w:tr>
        <w:trPr/>
        <w:tc>
          <w:tcPr>
            <w:tcW w:w="7021" w:type="dxa"/>
            <w:tcBorders>
              <w:left w:val="single" w:sz="4" w:space="0" w:color="231F20"/>
              <w:bottom w:val="single" w:sz="4" w:space="0" w:color="231F20"/>
              <w:right w:val="single" w:sz="4" w:space="0" w:color="231F20"/>
            </w:tcBorders>
            <w:tcMar>
              <w:top w:w="0" w:type="dxa"/>
              <w:left w:w="122" w:type="dxa"/>
              <w:right w:w="5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Science and Technology Committee Member (non-Chair): </w:t>
            </w:r>
          </w:p>
        </w:tc>
        <w:tc>
          <w:tcPr>
            <w:tcW w:w="991" w:type="dxa"/>
            <w:tcBorders>
              <w:bottom w:val="single" w:sz="4" w:space="0" w:color="231F20"/>
              <w:right w:val="single" w:sz="4" w:space="0" w:color="231F20"/>
            </w:tcBorders>
            <w:tcMar>
              <w:top w:w="0" w:type="dxa"/>
              <w:left w:w="0" w:type="dxa"/>
              <w:right w:w="5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$7,500</w:t>
            </w:r>
          </w:p>
        </w:tc>
      </w:tr>
    </w:tbl>
    <w:p>
      <w:pPr>
        <w:pStyle w:val="TextBody"/>
        <w:bidi w:val="0"/>
        <w:jc w:val="left"/>
        <w:rPr/>
      </w:pPr>
      <w:r>
        <w:rPr/>
        <w:t> </w:t>
      </w:r>
    </w:p>
    <w:p>
      <w:pPr>
        <w:pStyle w:val="TextBody"/>
        <w:bidi w:val="0"/>
        <w:spacing w:before="0" w:after="230"/>
        <w:jc w:val="left"/>
        <w:rPr>
          <w:rFonts w:ascii="Times New Roman" w:hAnsi="Times New Roman"/>
          <w:sz w:val="20"/>
        </w:rPr>
      </w:pPr>
      <w:r>
        <w:rPr>
          <w:rFonts w:ascii="Times New Roman" w:hAnsi="Times New Roman"/>
          <w:color w:val="000000"/>
          <w:sz w:val="22"/>
        </w:rPr>
        <w:t>All annual retainers will be paid in cash quarterly in arrears promptly following the end of the applicable calendar quarter, but in no event more than 30 days after the end of such quarter. In the event a Non-Employee Director does not serve as a Non-Employee Director, or in the applicable positions described above, for an entire calendar quarter, the retainer paid to such Non-Employee Director shall be prorated for the portion of such calendar quarter actually served as a Non-Employee Director, or in such position, as applicable.</w:t>
      </w:r>
      <w:r>
        <w:rPr>
          <w:rFonts w:ascii="Times New Roman" w:hAnsi="Times New Roman"/>
          <w:color w:val="000000"/>
          <w:sz w:val="20"/>
        </w:rPr>
        <w:t xml:space="preserve"> </w:t>
      </w:r>
    </w:p>
    <w:p>
      <w:pPr>
        <w:pStyle w:val="TextBody"/>
        <w:bidi w:val="0"/>
        <w:spacing w:before="0" w:after="208"/>
        <w:jc w:val="left"/>
        <w:rPr>
          <w:rFonts w:ascii="Times New Roman" w:hAnsi="Times New Roman"/>
          <w:b/>
          <w:i/>
          <w:color w:val="000000"/>
          <w:sz w:val="22"/>
        </w:rPr>
      </w:pPr>
      <w:r>
        <w:rPr>
          <w:rFonts w:ascii="Times New Roman" w:hAnsi="Times New Roman"/>
          <w:b/>
          <w:i/>
          <w:color w:val="000000"/>
          <w:sz w:val="22"/>
        </w:rPr>
        <w:t>Equity Compensation</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sz w:val="4"/>
                <w:szCs w:val="4"/>
              </w:rPr>
            </w:pPr>
            <w:r>
              <w:rPr>
                <w:sz w:val="4"/>
                <w:szCs w:val="4"/>
              </w:rPr>
            </w:r>
          </w:p>
        </w:tc>
        <w:tc>
          <w:tcPr>
            <w:tcW w:w="9025" w:type="dxa"/>
            <w:tcBorders/>
            <w:vAlign w:val="center"/>
          </w:tcPr>
          <w:p>
            <w:pPr>
              <w:pStyle w:val="TableContents"/>
              <w:bidi w:val="0"/>
              <w:spacing w:before="0" w:after="283"/>
              <w:jc w:val="left"/>
              <w:rPr>
                <w:sz w:val="4"/>
                <w:szCs w:val="4"/>
              </w:rPr>
            </w:pPr>
            <w:r>
              <w:rPr>
                <w:sz w:val="4"/>
                <w:szCs w:val="4"/>
              </w:rPr>
            </w:r>
          </w:p>
        </w:tc>
      </w:tr>
      <w:tr>
        <w:trPr/>
        <w:tc>
          <w:tcPr>
            <w:tcW w:w="1180"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Initial Stock Option Grant:</w:t>
            </w:r>
          </w:p>
        </w:tc>
        <w:tc>
          <w:tcPr>
            <w:tcW w:w="902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Each Non-Employee Director who is initially elected or appointed to serve on the Board shall be granted an Option under the Plan or any other applicable Company equity incentive plan then-maintained by the Company to purchase 130,000 shares of Common Stock.</w:t>
            </w:r>
          </w:p>
          <w:p>
            <w:pPr>
              <w:pStyle w:val="TableContents"/>
              <w:bidi w:val="0"/>
              <w:spacing w:before="0" w:after="283"/>
              <w:jc w:val="left"/>
              <w:rPr>
                <w:rFonts w:ascii="Times New Roman" w:hAnsi="Times New Roman"/>
                <w:sz w:val="22"/>
              </w:rPr>
            </w:pPr>
            <w:r>
              <w:rPr>
                <w:rFonts w:ascii="Times New Roman" w:hAnsi="Times New Roman"/>
                <w:color w:val="000000"/>
                <w:sz w:val="22"/>
              </w:rPr>
              <w:t>The Initial Option will be automatically granted on the date on which such Non-Employee Director commences service on the Board, and will vest as to 1/36</w:t>
            </w:r>
            <w:r>
              <w:rPr>
                <w:rFonts w:ascii="Times New Roman" w:hAnsi="Times New Roman"/>
                <w:color w:val="000000"/>
                <w:sz w:val="15"/>
              </w:rPr>
              <w:t>th</w:t>
            </w:r>
            <w:r>
              <w:rPr>
                <w:rFonts w:ascii="Times New Roman" w:hAnsi="Times New Roman"/>
                <w:color w:val="000000"/>
                <w:sz w:val="22"/>
              </w:rPr>
              <w:t xml:space="preserve"> of the shares subject thereto on each monthly anniversary of the applicable date of grant such that the shares subject to the Initial Option are fully vested on the third anniversary of the grant, subject to the </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tbl>
      <w:tblPr>
        <w:tblW w:w="10205" w:type="dxa"/>
        <w:jc w:val="left"/>
        <w:tblInd w:w="0" w:type="dxa"/>
        <w:tblLayout w:type="fixed"/>
        <w:tblCellMar>
          <w:top w:w="28" w:type="dxa"/>
          <w:left w:w="28" w:type="dxa"/>
          <w:bottom w:w="28" w:type="dxa"/>
          <w:right w:w="28" w:type="dxa"/>
        </w:tblCellMar>
      </w:tblPr>
      <w:tblGrid>
        <w:gridCol w:w="1258"/>
        <w:gridCol w:w="8947"/>
      </w:tblGrid>
      <w:tr>
        <w:trPr/>
        <w:tc>
          <w:tcPr>
            <w:tcW w:w="1258" w:type="dxa"/>
            <w:tcBorders/>
            <w:vAlign w:val="center"/>
          </w:tcPr>
          <w:p>
            <w:pPr>
              <w:pStyle w:val="TableContents"/>
              <w:bidi w:val="0"/>
              <w:spacing w:before="0" w:after="283"/>
              <w:jc w:val="left"/>
              <w:rPr>
                <w:sz w:val="4"/>
                <w:szCs w:val="4"/>
              </w:rPr>
            </w:pPr>
            <w:r>
              <w:rPr>
                <w:sz w:val="4"/>
                <w:szCs w:val="4"/>
              </w:rPr>
            </w:r>
          </w:p>
        </w:tc>
        <w:tc>
          <w:tcPr>
            <w:tcW w:w="8947" w:type="dxa"/>
            <w:tcBorders/>
            <w:vAlign w:val="center"/>
          </w:tcPr>
          <w:p>
            <w:pPr>
              <w:pStyle w:val="TableContents"/>
              <w:bidi w:val="0"/>
              <w:spacing w:before="0" w:after="283"/>
              <w:jc w:val="left"/>
              <w:rPr>
                <w:sz w:val="4"/>
                <w:szCs w:val="4"/>
              </w:rPr>
            </w:pPr>
            <w:r>
              <w:rPr>
                <w:sz w:val="4"/>
                <w:szCs w:val="4"/>
              </w:rPr>
            </w:r>
          </w:p>
        </w:tc>
      </w:tr>
      <w:tr>
        <w:trPr/>
        <w:tc>
          <w:tcPr>
            <w:tcW w:w="1258" w:type="dxa"/>
            <w:tcBorders/>
            <w:tcMar>
              <w:top w:w="0" w:type="dxa"/>
              <w:left w:w="0" w:type="dxa"/>
              <w:bottom w:w="0" w:type="dxa"/>
              <w:right w:w="0" w:type="dxa"/>
            </w:tcMar>
            <w:vAlign w:val="center"/>
          </w:tcPr>
          <w:p>
            <w:pPr>
              <w:pStyle w:val="TableContents"/>
              <w:bidi w:val="0"/>
              <w:spacing w:before="0" w:after="283"/>
              <w:jc w:val="left"/>
              <w:rPr/>
            </w:pPr>
            <w:r>
              <w:rPr/>
              <w:t> </w:t>
            </w:r>
          </w:p>
        </w:tc>
        <w:tc>
          <w:tcPr>
            <w:tcW w:w="8947"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 xml:space="preserve">Non-Employee Director continuing in service on the Board through each vesting date. </w:t>
            </w:r>
          </w:p>
        </w:tc>
      </w:tr>
      <w:tr>
        <w:trPr/>
        <w:tc>
          <w:tcPr>
            <w:tcW w:w="1258"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Annual Stock Option Grant:</w:t>
            </w:r>
          </w:p>
        </w:tc>
        <w:tc>
          <w:tcPr>
            <w:tcW w:w="8947"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Each Non-Employee Director who is serving on the Board as of the date of each annual stockholder meeting of the Company (each, an “Annual Meeting”) shall be granted an Option under the Plan or any other applicable Company equity incentive plan then-maintained by the Company to purchase 65,000 shares of Common Stock.</w:t>
            </w:r>
          </w:p>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The Annual Option will be automatically granted on the date of the applicable Annual Meeting and will vest in full on the earlier of (i) the first anniversary of the date of grant and (ii) immediately prior to the Annual Meeting following the date of grant, subject to the Non-Employee Director continuing in service on the Board through such vesting date.</w:t>
            </w:r>
          </w:p>
        </w:tc>
      </w:tr>
    </w:tbl>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The per share exercise price of each Option granted to a Non-Employee Director shall equal the Fair Market Value of a share of common stock on the date the Option is granted.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The term of each Option granted to a Non-Employee Director shall be ten years from the date the Option is granted.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No portion of an Initial Option or Annual Option which is unvested or unexercisable at the time of a Non-Employee Director’s termination of service on the Board shall become vested and exercisable thereafter.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Members of the Board who are employees of the Company or any parent or subsidiary of the Company who subsequently terminate their service with the Company and any parent or subsidiary of the Company and remain on the Board will not receive an Initial Option, but to the extent that they are otherwise eligible, will be eligible to receive, after termination from service with the Company and any parent or subsidiary of the Company, Annual Options as described above.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i/>
          <w:color w:val="000000"/>
          <w:sz w:val="22"/>
        </w:rPr>
        <w:t>Change in Control</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Upon a Change in Control of the Company, all outstanding equity awards granted under the Plan and any other equity incentive plan maintained by the Company that are held by a Non-Employee Director shall become fully vested and/or exercisable, irrespective of any other provisions of the Non-Employee Director’s Award Agreement.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i/>
          <w:color w:val="000000"/>
          <w:sz w:val="22"/>
        </w:rPr>
        <w:t>Reimbursements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The Company shall reimburse each Non-Employee Director for all reasonable, documented, out- of-pocket travel and other business expenses incurred by such Non-Employee Director in the performance of his or her duties to the Company in accordance with the Company’s applicable expense reimbursement policies and procedures as in effect from time to time.</w:t>
      </w:r>
      <w:r>
        <w:rPr>
          <w:rFonts w:ascii="Times New Roman" w:hAnsi="Times New Roman"/>
          <w:color w:val="000000"/>
          <w:sz w:val="20"/>
        </w:rPr>
        <w:t xml:space="preserve"> </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Miscellaneous</w:t>
      </w:r>
    </w:p>
    <w:p>
      <w:pPr>
        <w:pStyle w:val="TextBody"/>
        <w:bidi w:val="0"/>
        <w:spacing w:before="0" w:after="240"/>
        <w:jc w:val="left"/>
        <w:rPr>
          <w:rFonts w:ascii="Times New Roman" w:hAnsi="Times New Roman"/>
          <w:sz w:val="20"/>
        </w:rPr>
      </w:pPr>
      <w:r>
        <w:rPr>
          <w:rFonts w:ascii="Times New Roman" w:hAnsi="Times New Roman"/>
          <w:color w:val="000000"/>
          <w:sz w:val="22"/>
        </w:rPr>
        <w:t>The other provisions of the Plan shall apply to the Options granted automatically pursuant to this Program, except to the extent such other provisions are inconsistent with this Program. All applicable terms of the Plan apply to this Program as if fully set forth herein, and all grants of Options hereby are subject in all respects to the terms of the Plan. The grant of any Option under this Program shall be made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0" w:after="240"/>
        <w:jc w:val="left"/>
        <w:rPr>
          <w:rFonts w:ascii="Times New Roman" w:hAnsi="Times New Roman"/>
          <w:sz w:val="20"/>
        </w:rPr>
      </w:pPr>
      <w:r>
        <w:rPr>
          <w:rFonts w:ascii="Times New Roman" w:hAnsi="Times New Roman"/>
          <w:color w:val="000000"/>
          <w:sz w:val="22"/>
        </w:rPr>
        <w:t>solely by and subject to the terms set forth in a written agreement in a form to be approved by the Board and duly executed by an executive officer of the Company.</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olor w:val="000000"/>
          <w:sz w:val="22"/>
        </w:rPr>
        <w:t>* * * * *</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 hereby certify that the foregoing Program was adopted by the Board of Directors of Annexon, Inc. on July 14, 2020 and was amended on April 25, 2022, March 16, 2023, June 8, 2023, June 5, 2024, April 1, 2025 and June 11, 2026.</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 * * *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Executed on June 11, 2026.</w:t>
      </w:r>
    </w:p>
    <w:p>
      <w:pPr>
        <w:pStyle w:val="TextBody"/>
        <w:bidi w:val="0"/>
        <w:jc w:val="left"/>
        <w:rPr>
          <w:rFonts w:ascii="Times New Roman" w:hAnsi="Times New Roman"/>
          <w:color w:val="000000"/>
          <w:sz w:val="22"/>
          <w:u w:val="single"/>
        </w:rPr>
      </w:pPr>
      <w:r>
        <w:rPr>
          <w:rFonts w:ascii="Times New Roman" w:hAnsi="Times New Roman"/>
          <w:color w:val="000000"/>
          <w:sz w:val="22"/>
          <w:u w:val="single"/>
        </w:rPr>
        <w:t xml:space="preserve">/s/ Jennifer Lew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Jennifer Lew, Corporate Secretary</w:t>
      </w:r>
    </w:p>
    <w:p>
      <w:pPr>
        <w:pStyle w:val="HorizontalLine"/>
        <w:pBdr>
          <w:bottom w:val="double" w:sz="2" w:space="0" w:color="808080"/>
        </w:pBdr>
        <w:bidi w:val="0"/>
        <w:spacing w:before="0" w:after="283"/>
        <w:jc w:val="left"/>
        <w:rPr/>
      </w:pPr>
      <w:r>
        <w:rPr/>
      </w:r>
    </w:p>
    <w:p>
      <w:pPr>
        <w:pStyle w:val="TextBody"/>
        <w:bidi w:val="0"/>
        <w:jc w:val="left"/>
        <w:rPr/>
      </w:pPr>
      <w:bookmarkStart w:id="26" w:name="annx-ex31_1.htm"/>
      <w:bookmarkStart w:id="27" w:name="ksannxex31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Douglas Love,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Annexon,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797" w:type="dxa"/>
        <w:jc w:val="left"/>
        <w:tblInd w:w="0" w:type="dxa"/>
        <w:tblLayout w:type="fixed"/>
        <w:tblCellMar>
          <w:top w:w="28" w:type="dxa"/>
          <w:left w:w="28" w:type="dxa"/>
          <w:bottom w:w="28" w:type="dxa"/>
          <w:right w:w="28" w:type="dxa"/>
        </w:tblCellMar>
      </w:tblPr>
      <w:tblGrid>
        <w:gridCol w:w="1951"/>
        <w:gridCol w:w="109"/>
        <w:gridCol w:w="406"/>
        <w:gridCol w:w="33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Douglas Love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Douglas Love, Esq.</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annx-ex31_2.htm"/>
      <w:bookmarkStart w:id="29" w:name="ksannxex31_2"/>
      <w:bookmarkEnd w:id="28"/>
      <w:bookmarkEnd w:id="29"/>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Jennifer Lew,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Annexon,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072" w:type="dxa"/>
        <w:jc w:val="left"/>
        <w:tblInd w:w="0" w:type="dxa"/>
        <w:tblLayout w:type="fixed"/>
        <w:tblCellMar>
          <w:top w:w="28" w:type="dxa"/>
          <w:left w:w="28" w:type="dxa"/>
          <w:bottom w:w="28" w:type="dxa"/>
          <w:right w:w="28" w:type="dxa"/>
        </w:tblCellMar>
      </w:tblPr>
      <w:tblGrid>
        <w:gridCol w:w="1951"/>
        <w:gridCol w:w="109"/>
        <w:gridCol w:w="406"/>
        <w:gridCol w:w="460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60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6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Jennifer Lew</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Jennifer Lew</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Executive Vice President and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annx-ex32_1.htm"/>
      <w:bookmarkStart w:id="31" w:name="ksannxex32_1"/>
      <w:bookmarkEnd w:id="30"/>
      <w:bookmarkEnd w:id="31"/>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CHIEF EXECUTIVE OFFICER AND CHIEF FINANCIAL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 AS AMENDED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on Form 10-Q of Annexon, Inc. (the “Company”) for the quarter ended June 30, 2026 (the “Report”) filed with the Securities and Exchange Commission on the date hereof, Douglas Love, President and Chief Executive Officer of the Company, and Jennifer Lew, Executive Vice President and Chief Financial Officer of the Company, each hereby certifies, pursuant to 18 U.S.C. Section 1350, as adopted pursuant to Section 906 of the Sarbanes-Oxley Act of 2002, as amended,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tbl>
      <w:tblPr>
        <w:tblW w:w="6684" w:type="dxa"/>
        <w:jc w:val="left"/>
        <w:tblInd w:w="0" w:type="dxa"/>
        <w:tblLayout w:type="fixed"/>
        <w:tblCellMar>
          <w:top w:w="28" w:type="dxa"/>
          <w:left w:w="28" w:type="dxa"/>
          <w:bottom w:w="28" w:type="dxa"/>
          <w:right w:w="28" w:type="dxa"/>
        </w:tblCellMar>
      </w:tblPr>
      <w:tblGrid>
        <w:gridCol w:w="1951"/>
        <w:gridCol w:w="146"/>
        <w:gridCol w:w="146"/>
        <w:gridCol w:w="444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Douglas Love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Douglas Love, Esq.</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Jennifer Lew</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Lew</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Robo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8115/000119312520201003/d75304dex31.htm" TargetMode="External"/><Relationship Id="rId3" Type="http://schemas.openxmlformats.org/officeDocument/2006/relationships/hyperlink" Target="https://www.sec.gov/Archives/edgar/data/1528115/000119312520201003/d75304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54324</Words>
  <Characters>302862</Characters>
  <CharactersWithSpaces>357924</CharactersWithSpaces>
  <Paragraphs>6134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