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Annexon,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4,644,823.00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4,644,823.00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4,644,823.00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4,644,823.00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4,644,823.00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4,644,823.00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3,399,850.00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3,399,850.00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3,399,850.00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3,399,850.00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3,399,850.00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3,399,850.00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522,906.00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522,906.00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522,906.00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522,906.00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522,906.00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522,906.00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8,044,673.00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8,044,673.00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8,044,673.00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8,698,173.00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8,698,173.00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8,698,173.00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8,698,173.00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8,698,173.00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8,698,173.00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8,698,173.00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8,698,173.00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8,698,173.00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Annexon,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t xml:space="preserve">Address of issuer's principal executive offices: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March 31, 2026, (i) BVF beneficially owned 4,644,823 Shares, (ii) BVF2 beneficially owned 3,399,850 Shares, and (iii) Trading Fund OS beneficially owned 522,906 Shares. BVF GP, as the general partner of BVF, may be deemed to beneficially own the 4,644,823 Shares beneficially owned by BVF. BVF2 GP, as the general partner of BVF2, may be deemed to beneficially own the 3,399,850 Shares beneficially owned by BVF2. Partners OS, as the general partner of Trading Fund OS, may be deemed to beneficially own the 522,906 Shares beneficially owned by Trading Fund OS. BVF GPH, as the sole member of each of BVF GP and BVF2 GP, may be deemed to beneficially own the 8,044,673 Shares beneficially owned in the aggregate by BVF and BVF2. Partners, as the investment manager of BVF, BVF2 and Trading Fund OS, and the sole member of Partners OS, may be deemed to beneficially own the 8,698,173 Shares beneficially owned in the aggregate by BVF, BVF2 and Trading Fund OS and held in a certain Partners managed account (the "Partners Managed Account"), including 130,594 Shares held in the Partners Managed Account. BVF Inc., as the general partner of Partners, may be deemed to beneficially own the 8,698,173 Shares beneficially owned by Partners. Mr. Lampert, as a director and officer of BVF Inc., may be deemed to beneficially own the 8,698,173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upon a denominator that is the sum of (i) 160,474,333 Shares outstanding as of March 25, 2026, as disclosed in the Issuer's Annual Report on Form 10-K filed with the Securities and Exchange Commission on March 30, 2026, and (ii) 2,027,384 Shares issued to the Reporting Persons and the Partners Managed Account on March 27, 2026, upon the exercise of certain Pre-Funded Warrants previously held by them. As of the close of business on March 31, 2026, (i) BVF beneficially owned approximately 2.9% of the outstanding Shares, (ii) BVF2 beneficially owned approximately 2.1% of the outstanding Shares, (iii) Trading Fund OS beneficially owned less than 1% of the outstanding Shares, (iv) BVF GP may be deemed to beneficially own approximately 2.9% of the outstanding Shares, (v) BVF2 GP may be deemed to beneficially own approximately 2.1% of the outstanding Shares, (vi) Partners OS may be deemed to beneficially own less than 1% of the outstanding Shares, (vii) BVF GPH may be deemed to beneficially own approximately 5.0% of the outstanding Shares, and (viii) each of Partners, BVF Inc. and Mr. Lampert may be deemed to beneficially own approximately 5.4%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Partners, BVF Inc. and Mr. Lampert share voting and dispositive power over the Shares beneficially owned by BVF, BVF2 and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with the Securities and Exchange Commission on May 26, 2022.</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2932</Words>
  <Characters>14964</Characters>
  <CharactersWithSpaces>17706</CharactersWithSpaces>
  <Paragraphs>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